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color w:val="FF0000"/>
          <w:spacing w:val="100"/>
          <w:w w:val="90"/>
          <w:sz w:val="52"/>
          <w:szCs w:val="52"/>
        </w:rPr>
      </w:pPr>
    </w:p>
    <w:p>
      <w:pPr>
        <w:jc w:val="center"/>
        <w:rPr>
          <w:rFonts w:ascii="方正小标宋简体" w:eastAsia="方正小标宋简体"/>
          <w:color w:val="FF0000"/>
          <w:spacing w:val="100"/>
          <w:w w:val="90"/>
          <w:sz w:val="52"/>
          <w:szCs w:val="52"/>
        </w:rPr>
      </w:pPr>
    </w:p>
    <w:p>
      <w:pPr>
        <w:jc w:val="center"/>
        <w:rPr>
          <w:rFonts w:hint="eastAsia" w:ascii="方正大标宋简体" w:hAnsi="方正大标宋简体" w:eastAsia="方正大标宋简体" w:cs="方正大标宋简体"/>
          <w:color w:val="FF0000"/>
          <w:spacing w:val="100"/>
          <w:sz w:val="72"/>
          <w:szCs w:val="72"/>
        </w:rPr>
      </w:pPr>
      <w:r>
        <w:rPr>
          <w:rFonts w:hint="eastAsia" w:ascii="方正大标宋简体" w:hAnsi="方正大标宋简体" w:eastAsia="方正大标宋简体" w:cs="方正大标宋简体"/>
          <w:color w:val="FF0000"/>
          <w:spacing w:val="100"/>
          <w:sz w:val="72"/>
          <w:szCs w:val="72"/>
        </w:rPr>
        <w:t>三江侗族自治县</w:t>
      </w:r>
    </w:p>
    <w:p>
      <w:pPr>
        <w:jc w:val="center"/>
        <w:rPr>
          <w:rFonts w:hint="eastAsia" w:ascii="方正小标宋简体" w:eastAsia="方正小标宋简体"/>
          <w:color w:val="FF0000"/>
          <w:spacing w:val="124"/>
          <w:w w:val="90"/>
          <w:sz w:val="84"/>
          <w:szCs w:val="84"/>
        </w:rPr>
      </w:pPr>
      <w:r>
        <w:rPr>
          <w:rFonts w:hint="eastAsia" w:ascii="方正大标宋简体" w:hAnsi="方正大标宋简体" w:eastAsia="方正大标宋简体" w:cs="方正大标宋简体"/>
          <w:color w:val="FF0000"/>
          <w:spacing w:val="124"/>
          <w:sz w:val="84"/>
          <w:szCs w:val="84"/>
          <w:lang w:eastAsia="zh-CN"/>
        </w:rPr>
        <w:t>发展和改革局</w:t>
      </w:r>
      <w:r>
        <w:rPr>
          <w:rFonts w:hint="eastAsia" w:ascii="方正大标宋简体" w:hAnsi="方正大标宋简体" w:eastAsia="方正大标宋简体" w:cs="方正大标宋简体"/>
          <w:color w:val="FF0000"/>
          <w:spacing w:val="124"/>
          <w:sz w:val="84"/>
          <w:szCs w:val="84"/>
        </w:rPr>
        <w:t>文</w:t>
      </w:r>
      <w:r>
        <w:rPr>
          <w:rFonts w:hint="eastAsia" w:ascii="方正大标宋简体" w:hAnsi="方正大标宋简体" w:eastAsia="方正大标宋简体" w:cs="方正大标宋简体"/>
          <w:color w:val="FF0000"/>
          <w:spacing w:val="124"/>
          <w:sz w:val="84"/>
          <w:szCs w:val="84"/>
          <w:lang w:eastAsia="zh-CN"/>
        </w:rPr>
        <w:t>件</w:t>
      </w:r>
    </w:p>
    <w:p>
      <w:pPr>
        <w:jc w:val="both"/>
        <w:rPr>
          <w:rFonts w:hint="eastAsia" w:ascii="宋体" w:hAnsi="宋体" w:eastAsia="宋体" w:cs="宋体"/>
          <w:color w:val="FF0000"/>
          <w:spacing w:val="124"/>
          <w:w w:val="90"/>
          <w:sz w:val="24"/>
          <w:szCs w:val="24"/>
        </w:rPr>
      </w:pPr>
    </w:p>
    <w:p>
      <w:pPr>
        <w:jc w:val="both"/>
        <w:rPr>
          <w:rFonts w:hint="eastAsia" w:ascii="宋体" w:hAnsi="宋体" w:eastAsia="宋体" w:cs="宋体"/>
          <w:color w:val="FF0000"/>
          <w:spacing w:val="124"/>
          <w:w w:val="90"/>
          <w:sz w:val="24"/>
          <w:szCs w:val="24"/>
        </w:rPr>
      </w:pPr>
    </w:p>
    <w:p>
      <w:pPr>
        <w:rPr>
          <w:rFonts w:hint="eastAsia" w:ascii="仿宋" w:hAnsi="仿宋" w:eastAsia="仿宋_GB2312" w:cs="仿宋"/>
          <w:b/>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424815</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33.45pt;height:0pt;width:459pt;z-index:251660288;mso-width-relative:page;mso-height-relative:page;" filled="f" stroked="t" coordsize="21600,21600" o:gfxdata="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E5io2gAAAAkBAAAPAAAAAAAAAAEAIAAAACIAAABkcnMvZG93bnJl&#10;di54bWxQSwECFAAUAAAACACHTuJASMnNWPsBAADzAwAADgAAAAAAAAABACAAAAApAQAAZHJzL2Uy&#10;b0RvYy54bWxQSwUGAAAAAAYABgBZAQAAlgUAAAAA&#10;">
                <v:fill on="f" focussize="0,0"/>
                <v:stroke weight="3pt" color="#FF0000" joinstyle="round"/>
                <v:imagedata o:title=""/>
                <o:lock v:ext="edit" aspectratio="f"/>
              </v:line>
            </w:pict>
          </mc:Fallback>
        </mc:AlternateContent>
      </w:r>
      <w:r>
        <w:rPr>
          <w:rFonts w:hint="eastAsia" w:ascii="仿宋_GB2312" w:eastAsia="仿宋_GB2312"/>
          <w:sz w:val="32"/>
          <w:szCs w:val="32"/>
        </w:rPr>
        <w:t>三发改字</w:t>
      </w:r>
      <w:r>
        <w:rPr>
          <w:rFonts w:hint="eastAsia" w:ascii="Times New Roman" w:hAnsi="Times New Roman" w:eastAsia="仿宋_GB2312" w:cs="Times New Roman"/>
          <w:color w:val="auto"/>
          <w:sz w:val="32"/>
          <w:szCs w:val="32"/>
          <w:lang w:val="en-US" w:eastAsia="zh-CN"/>
        </w:rPr>
        <w:t>〔2025〕111</w:t>
      </w:r>
      <w:r>
        <w:rPr>
          <w:rFonts w:hint="eastAsia" w:ascii="仿宋_GB2312" w:eastAsia="仿宋_GB2312"/>
          <w:sz w:val="32"/>
          <w:szCs w:val="32"/>
        </w:rPr>
        <w:t xml:space="preserve">号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签发人：</w:t>
      </w:r>
      <w:r>
        <w:rPr>
          <w:rFonts w:hint="eastAsia" w:ascii="楷体_GB2312" w:hAnsi="楷体_GB2312" w:eastAsia="楷体_GB2312" w:cs="楷体_GB2312"/>
          <w:sz w:val="32"/>
          <w:szCs w:val="32"/>
          <w:lang w:eastAsia="zh-CN"/>
        </w:rPr>
        <w:t>杨海权</w:t>
      </w:r>
    </w:p>
    <w:p>
      <w:pPr>
        <w:pStyle w:val="3"/>
        <w:spacing w:line="400" w:lineRule="exact"/>
        <w:rPr>
          <w:b/>
          <w:sz w:val="32"/>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三江县侗族自治</w:t>
      </w:r>
      <w:bookmarkStart w:id="0" w:name="_GoBack"/>
      <w:bookmarkEnd w:id="0"/>
      <w:r>
        <w:rPr>
          <w:rFonts w:hint="eastAsia" w:ascii="方正小标宋简体" w:hAnsi="方正小标宋简体" w:eastAsia="方正小标宋简体" w:cs="方正小标宋简体"/>
          <w:b w:val="0"/>
          <w:bCs/>
          <w:sz w:val="44"/>
          <w:szCs w:val="44"/>
          <w:lang w:val="en-US" w:eastAsia="zh-CN"/>
        </w:rPr>
        <w:t>县林溪镇程阳集中供水项目初步设计及概算</w:t>
      </w:r>
      <w:r>
        <w:rPr>
          <w:rFonts w:hint="eastAsia" w:ascii="方正小标宋简体" w:hAnsi="方正小标宋简体" w:eastAsia="方正小标宋简体" w:cs="方正小标宋简体"/>
          <w:b w:val="0"/>
          <w:bCs/>
          <w:sz w:val="44"/>
          <w:szCs w:val="44"/>
        </w:rPr>
        <w:t>的批复</w:t>
      </w: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32"/>
          <w:szCs w:val="32"/>
        </w:rPr>
      </w:pPr>
    </w:p>
    <w:p>
      <w:pPr>
        <w:pStyle w:val="4"/>
        <w:keepNext w:val="0"/>
        <w:keepLines w:val="0"/>
        <w:pageBreakBefore w:val="0"/>
        <w:widowControl/>
        <w:kinsoku/>
        <w:wordWrap/>
        <w:overflowPunct/>
        <w:topLinePunct w:val="0"/>
        <w:autoSpaceDE/>
        <w:autoSpaceDN/>
        <w:bidi w:val="0"/>
        <w:adjustRightInd/>
        <w:snapToGrid/>
        <w:spacing w:line="580" w:lineRule="exact"/>
        <w:ind w:firstLine="0" w:firstLineChars="0"/>
        <w:jc w:val="left"/>
        <w:textAlignment w:val="baseline"/>
        <w:rPr>
          <w:rFonts w:hint="eastAsia" w:ascii="仿宋_GB2312" w:hAnsi="仿宋_GB2312" w:eastAsia="仿宋_GB2312" w:cs="仿宋_GB2312"/>
          <w:sz w:val="32"/>
          <w:szCs w:val="32"/>
          <w:lang w:eastAsia="zh-CN"/>
        </w:rPr>
      </w:pPr>
      <w:r>
        <w:rPr>
          <w:rFonts w:hint="eastAsia" w:cs="Times New Roman"/>
          <w:kern w:val="2"/>
          <w:sz w:val="32"/>
          <w:szCs w:val="20"/>
          <w:lang w:val="en-US" w:eastAsia="zh-CN" w:bidi="ar-SA"/>
        </w:rPr>
        <w:t>三江侗族自治县水利局</w:t>
      </w:r>
      <w:r>
        <w:rPr>
          <w:rFonts w:hint="eastAsia" w:ascii="仿宋_GB2312" w:hAnsi="仿宋_GB2312" w:eastAsia="仿宋_GB2312" w:cs="仿宋_GB2312"/>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w:t>
      </w:r>
      <w:r>
        <w:rPr>
          <w:rFonts w:hint="eastAsia" w:hAnsi="仿宋_GB2312" w:cs="仿宋_GB2312"/>
          <w:sz w:val="32"/>
          <w:szCs w:val="32"/>
          <w:lang w:eastAsia="zh-CN"/>
        </w:rPr>
        <w:t>单位</w:t>
      </w:r>
      <w:r>
        <w:rPr>
          <w:rFonts w:hint="eastAsia" w:ascii="仿宋_GB2312" w:hAnsi="仿宋_GB2312" w:eastAsia="仿宋_GB2312" w:cs="仿宋_GB2312"/>
          <w:sz w:val="32"/>
          <w:szCs w:val="32"/>
        </w:rPr>
        <w:t>报来《</w:t>
      </w:r>
      <w:r>
        <w:rPr>
          <w:rFonts w:hint="eastAsia" w:ascii="仿宋_GB2312" w:hAnsi="仿宋_GB2312" w:eastAsia="仿宋_GB2312" w:cs="仿宋_GB2312"/>
          <w:sz w:val="32"/>
          <w:szCs w:val="32"/>
          <w:lang w:eastAsia="zh-CN"/>
        </w:rPr>
        <w:t>关于</w:t>
      </w:r>
      <w:r>
        <w:rPr>
          <w:rFonts w:hint="eastAsia" w:hAnsi="仿宋_GB2312" w:cs="仿宋_GB2312"/>
          <w:sz w:val="32"/>
          <w:szCs w:val="32"/>
          <w:lang w:eastAsia="zh-CN"/>
        </w:rPr>
        <w:t>审查三江侗族自治县林溪镇程阳集中供水项目</w:t>
      </w:r>
      <w:r>
        <w:rPr>
          <w:rFonts w:hint="eastAsia" w:ascii="仿宋_GB2312" w:hAnsi="仿宋_GB2312" w:eastAsia="仿宋_GB2312" w:cs="仿宋_GB2312"/>
          <w:sz w:val="32"/>
          <w:szCs w:val="32"/>
          <w:lang w:eastAsia="zh-CN"/>
        </w:rPr>
        <w:t>初步设计</w:t>
      </w:r>
      <w:r>
        <w:rPr>
          <w:rFonts w:hint="eastAsia" w:hAnsi="仿宋_GB2312" w:cs="仿宋_GB2312"/>
          <w:sz w:val="32"/>
          <w:szCs w:val="32"/>
          <w:lang w:eastAsia="zh-CN"/>
        </w:rPr>
        <w:t>报告</w:t>
      </w:r>
      <w:r>
        <w:rPr>
          <w:rFonts w:hint="eastAsia" w:ascii="仿宋_GB2312" w:hAnsi="仿宋_GB2312" w:eastAsia="仿宋_GB2312" w:cs="仿宋_GB2312"/>
          <w:sz w:val="32"/>
          <w:szCs w:val="32"/>
          <w:lang w:eastAsia="zh-CN"/>
        </w:rPr>
        <w:t>的请示》（</w:t>
      </w:r>
      <w:r>
        <w:rPr>
          <w:rFonts w:hint="eastAsia" w:cs="Times New Roman"/>
          <w:kern w:val="2"/>
          <w:sz w:val="32"/>
          <w:szCs w:val="32"/>
          <w:lang w:val="en-US" w:eastAsia="zh-CN" w:bidi="ar-SA"/>
        </w:rPr>
        <w:t>三水报</w:t>
      </w:r>
      <w:r>
        <w:rPr>
          <w:rFonts w:hint="eastAsia" w:ascii="Times New Roman" w:hAnsi="Times New Roman" w:eastAsia="仿宋_GB2312" w:cs="Times New Roman"/>
          <w:color w:val="auto"/>
          <w:kern w:val="2"/>
          <w:sz w:val="32"/>
          <w:szCs w:val="32"/>
          <w:lang w:val="en-US" w:eastAsia="zh-CN" w:bidi="ar-SA"/>
        </w:rPr>
        <w:t>〔202</w:t>
      </w:r>
      <w:r>
        <w:rPr>
          <w:rFonts w:hint="eastAsia" w:ascii="Times New Roman"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w:t>
      </w:r>
      <w:r>
        <w:rPr>
          <w:rFonts w:hint="eastAsia" w:ascii="Times New Roman" w:cs="Times New Roman"/>
          <w:color w:val="auto"/>
          <w:kern w:val="2"/>
          <w:sz w:val="32"/>
          <w:szCs w:val="32"/>
          <w:lang w:val="en-US" w:eastAsia="zh-CN" w:bidi="ar-SA"/>
        </w:rPr>
        <w:t>73</w:t>
      </w:r>
      <w:r>
        <w:rPr>
          <w:rFonts w:hint="eastAsia" w:ascii="仿宋_GB2312" w:hAnsi="仿宋_GB2312" w:eastAsia="仿宋_GB2312" w:cs="仿宋_GB2312"/>
          <w:sz w:val="32"/>
          <w:szCs w:val="32"/>
          <w:lang w:eastAsia="zh-CN"/>
        </w:rPr>
        <w:t>号）收悉。经研究，现批复</w:t>
      </w:r>
      <w:r>
        <w:rPr>
          <w:rFonts w:hint="eastAsia" w:ascii="仿宋_GB2312" w:hAnsi="仿宋_GB2312" w:eastAsia="仿宋_GB2312" w:cs="仿宋_GB2312"/>
          <w:sz w:val="32"/>
          <w:szCs w:val="32"/>
        </w:rPr>
        <w:t>如下：</w:t>
      </w:r>
    </w:p>
    <w:p>
      <w:pPr>
        <w:pStyle w:val="4"/>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同意你</w:t>
      </w:r>
      <w:r>
        <w:rPr>
          <w:rFonts w:hint="eastAsia" w:hAnsi="仿宋_GB2312" w:cs="仿宋_GB2312"/>
          <w:sz w:val="32"/>
          <w:szCs w:val="32"/>
          <w:lang w:eastAsia="zh-CN"/>
        </w:rPr>
        <w:t>单位</w:t>
      </w:r>
      <w:r>
        <w:rPr>
          <w:rFonts w:hint="eastAsia" w:ascii="仿宋_GB2312" w:hAnsi="仿宋_GB2312" w:eastAsia="仿宋_GB2312" w:cs="仿宋_GB2312"/>
          <w:sz w:val="32"/>
          <w:szCs w:val="32"/>
        </w:rPr>
        <w:t>所报</w:t>
      </w:r>
      <w:r>
        <w:rPr>
          <w:rFonts w:hint="eastAsia" w:hAnsi="仿宋_GB2312" w:cs="仿宋_GB2312"/>
          <w:sz w:val="32"/>
          <w:szCs w:val="32"/>
          <w:lang w:eastAsia="zh-CN"/>
        </w:rPr>
        <w:t>三江侗族自治县林溪镇程阳集中供水项目</w:t>
      </w:r>
      <w:r>
        <w:rPr>
          <w:rFonts w:hint="eastAsia" w:ascii="仿宋_GB2312" w:hAnsi="仿宋_GB2312" w:eastAsia="仿宋_GB2312" w:cs="仿宋_GB2312"/>
          <w:sz w:val="32"/>
          <w:szCs w:val="32"/>
          <w:lang w:eastAsia="zh-CN"/>
        </w:rPr>
        <w:t>初步设计</w:t>
      </w:r>
      <w:r>
        <w:rPr>
          <w:rFonts w:hint="eastAsia" w:ascii="仿宋_GB2312" w:hAnsi="仿宋_GB2312" w:eastAsia="仿宋_GB2312" w:cs="仿宋_GB2312"/>
          <w:sz w:val="32"/>
          <w:szCs w:val="32"/>
        </w:rPr>
        <w:t>方案，请按有关要求进行方案优化设计。</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218" w:rightChars="-104"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 资 项 目 审 批 监 管 平 台 项 目 代 码 ：</w:t>
      </w:r>
      <w:r>
        <w:rPr>
          <w:rFonts w:hint="eastAsia" w:ascii="Times New Roman" w:hAnsi="Times New Roman" w:eastAsia="仿宋_GB2312" w:cs="Times New Roman"/>
          <w:color w:val="auto"/>
          <w:kern w:val="2"/>
          <w:sz w:val="32"/>
          <w:szCs w:val="32"/>
          <w:lang w:val="en-US" w:eastAsia="zh-CN" w:bidi="ar-SA"/>
        </w:rPr>
        <w:t>2309-450226-04-01-749732</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仿宋_GB2312" w:eastAsia="仿宋_GB2312" w:cs="仿宋_GB2312"/>
          <w:sz w:val="32"/>
          <w:szCs w:val="32"/>
        </w:rPr>
      </w:pPr>
      <w:r>
        <w:rPr>
          <w:rFonts w:hint="eastAsia" w:ascii="仿宋_GB2312" w:hAnsi="Calibri" w:eastAsia="仿宋_GB2312" w:cs="Times New Roman"/>
          <w:sz w:val="32"/>
          <w:lang w:val="en-US" w:eastAsia="zh-CN"/>
        </w:rPr>
        <w:t>三、项目业主：</w:t>
      </w:r>
      <w:r>
        <w:rPr>
          <w:rFonts w:hint="eastAsia" w:ascii="Times New Roman" w:hAnsi="Times New Roman" w:eastAsia="仿宋_GB2312" w:cs="仿宋_GB2312"/>
          <w:sz w:val="32"/>
          <w:szCs w:val="32"/>
          <w:lang w:val="en-US" w:eastAsia="zh-CN"/>
        </w:rPr>
        <w:t>三江侗族自治县农村饮水安全事务站</w:t>
      </w:r>
      <w:r>
        <w:rPr>
          <w:rFonts w:hint="eastAsia" w:ascii="仿宋_GB2312" w:hAnsi="Calibri" w:eastAsia="仿宋_GB2312" w:cs="Times New Roman"/>
          <w:sz w:val="32"/>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left"/>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、项目建设地点：</w:t>
      </w:r>
      <w:r>
        <w:rPr>
          <w:rFonts w:hint="eastAsia" w:ascii="仿宋_GB2312" w:hAnsi="仿宋_GB2312" w:eastAsia="仿宋_GB2312" w:cs="仿宋_GB2312"/>
          <w:color w:val="auto"/>
          <w:sz w:val="32"/>
          <w:szCs w:val="32"/>
          <w:lang w:eastAsia="zh-CN"/>
        </w:rPr>
        <w:t>三江侗族自治县林溪镇程阳景区</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shd w:val="clear" w:color="auto" w:fill="FFFFFF"/>
          <w:lang w:val="en-US" w:eastAsia="zh-CN" w:bidi="ar-SA"/>
        </w:rPr>
        <w:t>五</w:t>
      </w:r>
      <w:r>
        <w:rPr>
          <w:rFonts w:hint="eastAsia" w:ascii="仿宋_GB2312" w:hAnsi="仿宋_GB2312" w:eastAsia="仿宋_GB2312" w:cs="仿宋_GB2312"/>
          <w:sz w:val="32"/>
          <w:szCs w:val="32"/>
        </w:rPr>
        <w:t>、项目建设规模及内容：新增日供水能力</w:t>
      </w:r>
      <w:r>
        <w:rPr>
          <w:rFonts w:hint="eastAsia" w:ascii="Times New Roman" w:hAnsi="Times New Roman" w:eastAsia="仿宋_GB2312" w:cs="Times New Roman"/>
          <w:color w:val="auto"/>
          <w:kern w:val="2"/>
          <w:sz w:val="32"/>
          <w:szCs w:val="32"/>
          <w:lang w:val="en-US" w:eastAsia="zh-CN" w:bidi="ar-SA"/>
        </w:rPr>
        <w:t>2000</w:t>
      </w:r>
      <w:r>
        <w:rPr>
          <w:rFonts w:hint="eastAsia" w:ascii="仿宋_GB2312" w:hAnsi="仿宋_GB2312" w:eastAsia="仿宋_GB2312" w:cs="仿宋_GB2312"/>
          <w:sz w:val="32"/>
          <w:szCs w:val="32"/>
        </w:rPr>
        <w:t>吨，受益人口</w:t>
      </w:r>
      <w:r>
        <w:rPr>
          <w:rFonts w:hint="eastAsia" w:ascii="Times New Roman" w:hAnsi="Times New Roman" w:eastAsia="仿宋_GB2312" w:cs="Times New Roman"/>
          <w:color w:val="auto"/>
          <w:kern w:val="2"/>
          <w:sz w:val="32"/>
          <w:szCs w:val="32"/>
          <w:lang w:val="en-US" w:eastAsia="zh-CN" w:bidi="ar-SA"/>
        </w:rPr>
        <w:t>1.256</w:t>
      </w:r>
      <w:r>
        <w:rPr>
          <w:rFonts w:hint="eastAsia" w:ascii="仿宋_GB2312" w:hAnsi="仿宋_GB2312" w:eastAsia="仿宋_GB2312" w:cs="仿宋_GB2312"/>
          <w:sz w:val="32"/>
          <w:szCs w:val="32"/>
        </w:rPr>
        <w:t>万人。</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color w:val="auto"/>
          <w:kern w:val="2"/>
          <w:sz w:val="32"/>
          <w:szCs w:val="32"/>
          <w:shd w:val="clear" w:color="auto" w:fill="FFFFFF"/>
          <w:lang w:val="en-US" w:eastAsia="zh-CN" w:bidi="ar-SA"/>
        </w:rPr>
        <w:t>、</w:t>
      </w:r>
      <w:r>
        <w:rPr>
          <w:rFonts w:hint="eastAsia" w:ascii="仿宋_GB2312" w:hAnsi="仿宋_GB2312" w:eastAsia="仿宋_GB2312" w:cs="仿宋_GB2312"/>
          <w:color w:val="auto"/>
          <w:sz w:val="32"/>
          <w:szCs w:val="32"/>
          <w:lang w:val="en-US" w:eastAsia="zh-CN"/>
        </w:rPr>
        <w:t>主要技术标准和工程方案：</w:t>
      </w:r>
      <w:r>
        <w:rPr>
          <w:rFonts w:hint="eastAsia" w:ascii="仿宋_GB2312" w:hAnsi="仿宋_GB2312" w:eastAsia="仿宋_GB2312" w:cs="仿宋_GB2312"/>
          <w:color w:val="auto"/>
          <w:kern w:val="2"/>
          <w:sz w:val="32"/>
          <w:szCs w:val="32"/>
          <w:shd w:val="clear" w:color="auto" w:fill="FFFFFF"/>
          <w:lang w:val="en-US" w:eastAsia="zh-CN" w:bidi="ar-SA"/>
        </w:rPr>
        <w:t>工程给排水构筑物设计荷载按城</w:t>
      </w:r>
      <w:r>
        <w:rPr>
          <w:rFonts w:hint="eastAsia" w:ascii="Times New Roman" w:hAnsi="Times New Roman" w:eastAsia="仿宋_GB2312" w:cs="Times New Roman"/>
          <w:color w:val="auto"/>
          <w:kern w:val="2"/>
          <w:sz w:val="32"/>
          <w:szCs w:val="32"/>
          <w:lang w:val="en-US" w:eastAsia="zh-CN" w:bidi="ar-SA"/>
        </w:rPr>
        <w:t>A</w:t>
      </w:r>
      <w:r>
        <w:rPr>
          <w:rFonts w:hint="eastAsia" w:ascii="仿宋_GB2312" w:hAnsi="仿宋_GB2312" w:eastAsia="仿宋_GB2312" w:cs="仿宋_GB2312"/>
          <w:color w:val="auto"/>
          <w:kern w:val="2"/>
          <w:sz w:val="32"/>
          <w:szCs w:val="32"/>
          <w:shd w:val="clear" w:color="auto" w:fill="FFFFFF"/>
          <w:lang w:val="en-US" w:eastAsia="zh-CN" w:bidi="ar-SA"/>
        </w:rPr>
        <w:t>级设计，城镇给排水设施中主要构筑物的主体结构和地下干管其结构设计使用年限不低于</w:t>
      </w:r>
      <w:r>
        <w:rPr>
          <w:rFonts w:hint="eastAsia" w:ascii="Times New Roman" w:hAnsi="Times New Roman" w:eastAsia="仿宋_GB2312" w:cs="Times New Roman"/>
          <w:color w:val="auto"/>
          <w:kern w:val="2"/>
          <w:sz w:val="32"/>
          <w:szCs w:val="32"/>
          <w:lang w:val="en-US" w:eastAsia="zh-CN" w:bidi="ar-SA"/>
        </w:rPr>
        <w:t>50</w:t>
      </w:r>
      <w:r>
        <w:rPr>
          <w:rFonts w:hint="eastAsia" w:ascii="仿宋_GB2312" w:hAnsi="仿宋_GB2312" w:eastAsia="仿宋_GB2312" w:cs="仿宋_GB2312"/>
          <w:color w:val="auto"/>
          <w:kern w:val="2"/>
          <w:sz w:val="32"/>
          <w:szCs w:val="32"/>
          <w:shd w:val="clear" w:color="auto" w:fill="FFFFFF"/>
          <w:lang w:val="en-US" w:eastAsia="zh-CN" w:bidi="ar-SA"/>
        </w:rPr>
        <w:t>年，安全等级不低于二级。排水体制采用雨污分流制，雨水按满流设计，污水按非满流设计，尽量避免污水提升泵站数量。排水管道均沿道路敷设，敷设在红线范围内，雨水以高水高排、低水低排为原则，雨水就近排入现状水体。建筑抗震设防基本烈度为</w:t>
      </w: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color w:val="auto"/>
          <w:kern w:val="2"/>
          <w:sz w:val="32"/>
          <w:szCs w:val="32"/>
          <w:shd w:val="clear" w:color="auto" w:fill="FFFFFF"/>
          <w:lang w:val="en-US" w:eastAsia="zh-CN" w:bidi="ar-SA"/>
        </w:rPr>
        <w:t>度，抗震设防类别为丙类。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color w:val="auto"/>
          <w:sz w:val="32"/>
          <w:szCs w:val="32"/>
          <w:lang w:eastAsia="zh-CN"/>
        </w:rPr>
        <w:t>总投资及资金来源：</w:t>
      </w:r>
      <w:r>
        <w:rPr>
          <w:rFonts w:hint="eastAsia" w:ascii="仿宋_GB2312" w:hAnsi="仿宋_GB2312" w:eastAsia="仿宋_GB2312" w:cs="仿宋_GB2312"/>
          <w:color w:val="auto"/>
          <w:sz w:val="32"/>
          <w:szCs w:val="32"/>
          <w:lang w:val="en-US" w:eastAsia="zh-CN"/>
        </w:rPr>
        <w:t>项目总投资为</w:t>
      </w:r>
      <w:r>
        <w:rPr>
          <w:rFonts w:hint="default" w:ascii="Times New Roman" w:hAnsi="Times New Roman" w:eastAsia="仿宋_GB2312" w:cs="Times New Roman"/>
          <w:color w:val="auto"/>
          <w:sz w:val="32"/>
          <w:szCs w:val="32"/>
          <w:lang w:val="en-US" w:eastAsia="zh-CN"/>
        </w:rPr>
        <w:t>2151.67</w:t>
      </w:r>
      <w:r>
        <w:rPr>
          <w:rFonts w:hint="eastAsia" w:ascii="仿宋_GB2312" w:hAnsi="仿宋_GB2312" w:eastAsia="仿宋_GB2312" w:cs="仿宋_GB2312"/>
          <w:color w:val="auto"/>
          <w:sz w:val="32"/>
          <w:szCs w:val="32"/>
          <w:lang w:val="en-US" w:eastAsia="zh-CN"/>
        </w:rPr>
        <w:t>万元。其中:建筑工程费用</w:t>
      </w:r>
      <w:r>
        <w:rPr>
          <w:rFonts w:hint="default" w:ascii="Times New Roman" w:hAnsi="Times New Roman" w:eastAsia="仿宋_GB2312" w:cs="Times New Roman"/>
          <w:color w:val="auto"/>
          <w:sz w:val="32"/>
          <w:szCs w:val="32"/>
          <w:lang w:val="en-US" w:eastAsia="zh-CN"/>
        </w:rPr>
        <w:t>811.69</w:t>
      </w:r>
      <w:r>
        <w:rPr>
          <w:rFonts w:hint="eastAsia" w:ascii="仿宋_GB2312" w:hAnsi="仿宋_GB2312" w:eastAsia="仿宋_GB2312" w:cs="仿宋_GB2312"/>
          <w:color w:val="auto"/>
          <w:sz w:val="32"/>
          <w:szCs w:val="32"/>
          <w:lang w:val="en-US" w:eastAsia="zh-CN"/>
        </w:rPr>
        <w:t>万元；机电设备及安装工程费用</w:t>
      </w:r>
      <w:r>
        <w:rPr>
          <w:rFonts w:hint="default" w:ascii="Times New Roman" w:hAnsi="Times New Roman" w:eastAsia="仿宋_GB2312" w:cs="Times New Roman"/>
          <w:color w:val="auto"/>
          <w:sz w:val="32"/>
          <w:szCs w:val="32"/>
          <w:lang w:val="en-US" w:eastAsia="zh-CN"/>
        </w:rPr>
        <w:t>305.83</w:t>
      </w:r>
      <w:r>
        <w:rPr>
          <w:rFonts w:hint="eastAsia" w:ascii="仿宋_GB2312" w:hAnsi="仿宋_GB2312" w:eastAsia="仿宋_GB2312" w:cs="仿宋_GB2312"/>
          <w:color w:val="auto"/>
          <w:sz w:val="32"/>
          <w:szCs w:val="32"/>
          <w:lang w:val="en-US" w:eastAsia="zh-CN"/>
        </w:rPr>
        <w:t>万元；金属结构设备及安装工程费用</w:t>
      </w:r>
      <w:r>
        <w:rPr>
          <w:rFonts w:hint="default" w:ascii="Times New Roman" w:hAnsi="Times New Roman" w:eastAsia="仿宋_GB2312" w:cs="Times New Roman"/>
          <w:color w:val="auto"/>
          <w:sz w:val="32"/>
          <w:szCs w:val="32"/>
          <w:lang w:val="en-US" w:eastAsia="zh-CN"/>
        </w:rPr>
        <w:t>514.08</w:t>
      </w:r>
      <w:r>
        <w:rPr>
          <w:rFonts w:hint="eastAsia" w:ascii="仿宋_GB2312" w:hAnsi="仿宋_GB2312" w:eastAsia="仿宋_GB2312" w:cs="仿宋_GB2312"/>
          <w:color w:val="auto"/>
          <w:sz w:val="32"/>
          <w:szCs w:val="32"/>
          <w:lang w:val="en-US" w:eastAsia="zh-CN"/>
        </w:rPr>
        <w:t>万元；临时工程费用</w:t>
      </w:r>
      <w:r>
        <w:rPr>
          <w:rFonts w:hint="default" w:ascii="Times New Roman" w:hAnsi="Times New Roman" w:eastAsia="仿宋_GB2312" w:cs="Times New Roman"/>
          <w:color w:val="auto"/>
          <w:sz w:val="32"/>
          <w:szCs w:val="32"/>
          <w:lang w:val="en-US" w:eastAsia="zh-CN"/>
        </w:rPr>
        <w:t>15.11</w:t>
      </w:r>
      <w:r>
        <w:rPr>
          <w:rFonts w:hint="eastAsia" w:ascii="仿宋_GB2312" w:hAnsi="仿宋_GB2312" w:eastAsia="仿宋_GB2312" w:cs="仿宋_GB2312"/>
          <w:color w:val="auto"/>
          <w:sz w:val="32"/>
          <w:szCs w:val="32"/>
          <w:lang w:val="en-US" w:eastAsia="zh-CN"/>
        </w:rPr>
        <w:t>万元；独立费用</w:t>
      </w:r>
      <w:r>
        <w:rPr>
          <w:rFonts w:hint="default" w:ascii="Times New Roman" w:hAnsi="Times New Roman" w:eastAsia="仿宋_GB2312" w:cs="Times New Roman"/>
          <w:color w:val="auto"/>
          <w:sz w:val="32"/>
          <w:szCs w:val="32"/>
          <w:lang w:val="en-US" w:eastAsia="zh-CN"/>
        </w:rPr>
        <w:t>229.15</w:t>
      </w:r>
      <w:r>
        <w:rPr>
          <w:rFonts w:hint="eastAsia" w:ascii="仿宋_GB2312" w:hAnsi="仿宋_GB2312" w:eastAsia="仿宋_GB2312" w:cs="仿宋_GB2312"/>
          <w:color w:val="auto"/>
          <w:sz w:val="32"/>
          <w:szCs w:val="32"/>
          <w:lang w:val="en-US" w:eastAsia="zh-CN"/>
        </w:rPr>
        <w:t>万元；移民与环境投资费用</w:t>
      </w:r>
      <w:r>
        <w:rPr>
          <w:rFonts w:hint="default" w:ascii="Times New Roman" w:hAnsi="Times New Roman" w:eastAsia="仿宋_GB2312" w:cs="Times New Roman"/>
          <w:color w:val="auto"/>
          <w:sz w:val="32"/>
          <w:szCs w:val="32"/>
          <w:lang w:val="en-US" w:eastAsia="zh-CN"/>
        </w:rPr>
        <w:t>65.86</w:t>
      </w:r>
      <w:r>
        <w:rPr>
          <w:rFonts w:hint="eastAsia" w:ascii="仿宋_GB2312" w:hAnsi="仿宋_GB2312" w:eastAsia="仿宋_GB2312" w:cs="仿宋_GB2312"/>
          <w:color w:val="auto"/>
          <w:sz w:val="32"/>
          <w:szCs w:val="32"/>
          <w:lang w:val="en-US" w:eastAsia="zh-CN"/>
        </w:rPr>
        <w:t>万元；预备费</w:t>
      </w:r>
      <w:r>
        <w:rPr>
          <w:rFonts w:hint="default" w:ascii="Times New Roman" w:hAnsi="Times New Roman" w:eastAsia="仿宋_GB2312" w:cs="Times New Roman"/>
          <w:color w:val="auto"/>
          <w:sz w:val="32"/>
          <w:szCs w:val="32"/>
          <w:lang w:val="en-US" w:eastAsia="zh-CN"/>
        </w:rPr>
        <w:t>102.46</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资金来源为</w:t>
      </w:r>
      <w:r>
        <w:rPr>
          <w:rFonts w:hint="eastAsia" w:ascii="仿宋_GB2312" w:hAnsi="仿宋_GB2312" w:eastAsia="仿宋_GB2312" w:cs="仿宋_GB2312"/>
          <w:color w:val="auto"/>
          <w:sz w:val="32"/>
          <w:szCs w:val="32"/>
          <w:lang w:val="en-US" w:eastAsia="zh-CN"/>
        </w:rPr>
        <w:t>自治区财政补助资金。</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接文后，请严格按照基本建设程序开展施工图设计和其他开工前准备工作，严格控制项目建设标准、建设规模、概算等控制性指标，不得随意变更和突破。因国家政策调整、价格上涨、地质条件发生重大变化等原因确需增加投资概算的，项目单位应当提出调整方案及资金来源，按照规定的程序报原初步设计审批部门或者投资概算核定部门核定。</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80" w:lineRule="exact"/>
        <w:ind w:left="1598" w:leftChars="304" w:hanging="960" w:hangingChars="3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 xml:space="preserve">附件：三江侗族自治县林溪镇程阳集中供水项目投资概算汇总表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jc w:val="center"/>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center"/>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三江侗族自治县发展和改革局</w:t>
      </w:r>
    </w:p>
    <w:p>
      <w:pPr>
        <w:keepNext w:val="0"/>
        <w:keepLines w:val="0"/>
        <w:pageBreakBefore w:val="0"/>
        <w:widowControl/>
        <w:kinsoku/>
        <w:wordWrap/>
        <w:overflowPunct/>
        <w:topLinePunct w:val="0"/>
        <w:autoSpaceDE/>
        <w:autoSpaceDN/>
        <w:bidi w:val="0"/>
        <w:adjustRightInd/>
        <w:snapToGrid/>
        <w:spacing w:line="580" w:lineRule="exact"/>
        <w:ind w:firstLine="4480" w:firstLineChars="14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color w:val="auto"/>
          <w:kern w:val="2"/>
          <w:sz w:val="32"/>
          <w:szCs w:val="32"/>
          <w:lang w:val="en-US" w:eastAsia="zh-CN" w:bidi="ar-SA"/>
        </w:rPr>
        <w:t>2025</w:t>
      </w:r>
      <w:r>
        <w:rPr>
          <w:rFonts w:hint="eastAsia" w:ascii="仿宋_GB2312" w:hAnsi="仿宋_GB2312" w:eastAsia="仿宋_GB2312" w:cs="仿宋_GB2312"/>
          <w:sz w:val="32"/>
          <w:szCs w:val="32"/>
        </w:rPr>
        <w:t>年</w:t>
      </w: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sz w:val="32"/>
          <w:szCs w:val="32"/>
        </w:rPr>
        <w:t>月</w:t>
      </w:r>
      <w:r>
        <w:rPr>
          <w:rFonts w:hint="eastAsia" w:ascii="Times New Roman" w:hAnsi="Times New Roman" w:eastAsia="仿宋_GB2312" w:cs="Times New Roman"/>
          <w:color w:val="auto"/>
          <w:kern w:val="2"/>
          <w:sz w:val="32"/>
          <w:szCs w:val="32"/>
          <w:lang w:val="en-US" w:eastAsia="zh-CN" w:bidi="ar-SA"/>
        </w:rPr>
        <w:t>13</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（此件公开发布）</w:t>
      </w:r>
    </w:p>
    <w:p>
      <w:pPr>
        <w:keepNext w:val="0"/>
        <w:keepLines w:val="0"/>
        <w:pageBreakBefore w:val="0"/>
        <w:widowControl/>
        <w:kinsoku/>
        <w:wordWrap/>
        <w:overflowPunct/>
        <w:topLinePunct w:val="0"/>
        <w:autoSpaceDE/>
        <w:autoSpaceDN/>
        <w:bidi w:val="0"/>
        <w:adjustRightInd/>
        <w:snapToGrid/>
        <w:spacing w:line="560" w:lineRule="exact"/>
        <w:jc w:val="both"/>
        <w:textAlignment w:val="baseline"/>
        <w:outlineLvl w:val="9"/>
        <w:rPr>
          <w:rFonts w:hint="eastAsia" w:ascii="仿宋_GB2312" w:hAnsi="仿宋_GB2312" w:eastAsia="仿宋_GB2312" w:cs="仿宋_GB2312"/>
          <w:sz w:val="32"/>
          <w:lang w:val="en-US" w:eastAsia="zh-CN"/>
        </w:rPr>
      </w:pPr>
    </w:p>
    <w:p>
      <w:pPr>
        <w:rPr>
          <w:rFonts w:hint="eastAsia" w:ascii="仿宋_GB2312" w:hAnsi="Calibri" w:eastAsia="仿宋_GB2312" w:cs="Times New Roman"/>
          <w:sz w:val="32"/>
        </w:rPr>
      </w:pPr>
    </w:p>
    <w:p>
      <w:pPr>
        <w:pStyle w:val="13"/>
        <w:rPr>
          <w:rFonts w:hint="eastAsia" w:ascii="仿宋_GB2312" w:hAnsi="Calibri" w:eastAsia="仿宋_GB2312" w:cs="Times New Roman"/>
          <w:sz w:val="32"/>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rPr>
          <w:rFonts w:hint="eastAsia"/>
        </w:rPr>
      </w:pP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baseline"/>
        <w:outlineLvl w:val="9"/>
        <w:rPr>
          <w:rFonts w:hint="eastAsia" w:ascii="仿宋_GB2312" w:hAnsi="Calibri" w:eastAsia="仿宋_GB2312" w:cs="Times New Roman"/>
          <w:sz w:val="28"/>
          <w:szCs w:val="28"/>
          <w:lang w:eastAsia="zh-CN"/>
        </w:rPr>
      </w:pPr>
      <w:r>
        <w:rPr>
          <w:rFonts w:hint="eastAsia" w:ascii="仿宋_GB2312" w:hAnsi="仿宋_GB2312" w:eastAsia="仿宋_GB2312" w:cs="仿宋_GB2312"/>
          <w:b w:val="0"/>
          <w:sz w:val="28"/>
          <w:szCs w:val="28"/>
          <w:highlight w:val="none"/>
          <w:u w:val="thick"/>
          <w:shd w:val="clear" w:color="auto" w:fill="auto"/>
          <w:lang w:eastAsia="zh-CN"/>
        </w:rPr>
        <w:t xml:space="preserve"> </w:t>
      </w: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p>
    <w:p>
      <w:pPr>
        <w:widowControl/>
        <w:pBdr>
          <w:bottom w:val="single" w:color="auto" w:sz="4" w:space="0"/>
        </w:pBdr>
        <w:spacing w:line="600" w:lineRule="exact"/>
        <w:ind w:left="1400" w:hanging="1400" w:hangingChars="500"/>
        <w:jc w:val="left"/>
        <w:textAlignment w:val="baseline"/>
        <w:rPr>
          <w:rFonts w:hint="eastAsia" w:ascii="仿宋_GB2312" w:hAnsi="仿宋_GB2312" w:eastAsia="仿宋_GB2312" w:cs="仿宋_GB2312"/>
          <w:sz w:val="28"/>
          <w:szCs w:val="28"/>
          <w:highlight w:val="none"/>
          <w:u w:val="single" w:color="auto"/>
          <w:shd w:val="clear" w:color="auto" w:fill="auto"/>
          <w:lang w:val="en-US" w:eastAsia="zh-CN"/>
        </w:rPr>
      </w:pPr>
      <w:r>
        <w:rPr>
          <w:rFonts w:hint="eastAsia" w:ascii="仿宋_GB2312" w:hAnsi="Calibri" w:eastAsia="仿宋_GB2312" w:cs="Times New Roman"/>
          <w:sz w:val="28"/>
          <w:szCs w:val="28"/>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抄  送：</w:t>
      </w:r>
      <w:r>
        <w:rPr>
          <w:rFonts w:hint="eastAsia" w:ascii="仿宋_GB2312" w:hAnsi="Calibri" w:eastAsia="仿宋_GB2312" w:cs="Times New Roman"/>
          <w:sz w:val="28"/>
          <w:szCs w:val="28"/>
        </w:rPr>
        <w:t>县</w:t>
      </w:r>
      <w:r>
        <w:rPr>
          <w:rFonts w:hint="eastAsia" w:ascii="仿宋_GB2312" w:eastAsia="仿宋_GB2312"/>
          <w:sz w:val="28"/>
          <w:szCs w:val="28"/>
        </w:rPr>
        <w:t>财政局、</w:t>
      </w:r>
      <w:r>
        <w:rPr>
          <w:rFonts w:hint="eastAsia" w:ascii="仿宋_GB2312" w:hAnsi="Calibri" w:eastAsia="仿宋_GB2312" w:cs="Times New Roman"/>
          <w:sz w:val="28"/>
          <w:szCs w:val="28"/>
        </w:rPr>
        <w:t>自然资源和规划局、</w:t>
      </w:r>
      <w:r>
        <w:rPr>
          <w:rFonts w:hint="eastAsia" w:ascii="仿宋_GB2312" w:hAnsi="Calibri" w:eastAsia="仿宋_GB2312" w:cs="Times New Roman"/>
          <w:sz w:val="28"/>
          <w:szCs w:val="28"/>
          <w:lang w:eastAsia="zh-CN"/>
        </w:rPr>
        <w:t>住房和城乡建设局、柳州市三江生态环境局、</w:t>
      </w:r>
      <w:r>
        <w:rPr>
          <w:rFonts w:hint="eastAsia" w:ascii="仿宋_GB2312" w:hAnsi="Calibri" w:eastAsia="仿宋_GB2312" w:cs="Times New Roman"/>
          <w:sz w:val="28"/>
          <w:szCs w:val="28"/>
        </w:rPr>
        <w:t>存档</w:t>
      </w:r>
    </w:p>
    <w:p>
      <w:pPr>
        <w:keepNext w:val="0"/>
        <w:keepLines w:val="0"/>
        <w:pageBreakBefore w:val="0"/>
        <w:widowControl/>
        <w:pBdr>
          <w:top w:val="none" w:color="auto" w:sz="0" w:space="1"/>
          <w:left w:val="none" w:color="auto" w:sz="0" w:space="4"/>
          <w:bottom w:val="single" w:color="000000" w:sz="12" w:space="0"/>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280" w:firstLineChars="100"/>
        <w:jc w:val="left"/>
        <w:textAlignment w:val="baseline"/>
        <w:outlineLvl w:val="9"/>
        <w:rPr>
          <w:rFonts w:hint="default" w:ascii="仿宋_GB2312" w:hAnsi="仿宋_GB2312" w:eastAsia="仿宋_GB2312" w:cs="仿宋_GB2312"/>
          <w:sz w:val="28"/>
          <w:szCs w:val="28"/>
          <w:highlight w:val="none"/>
          <w:u w:val="none" w:color="auto"/>
          <w:shd w:val="clear" w:color="auto" w:fill="auto"/>
          <w:lang w:val="en-US"/>
        </w:rPr>
      </w:pPr>
      <w:r>
        <w:rPr>
          <w:rFonts w:hint="eastAsia" w:ascii="仿宋_GB2312" w:hAnsi="仿宋_GB2312" w:eastAsia="仿宋_GB2312" w:cs="仿宋_GB2312"/>
          <w:sz w:val="28"/>
          <w:szCs w:val="28"/>
          <w:highlight w:val="none"/>
          <w:u w:val="none" w:color="auto"/>
          <w:shd w:val="clear" w:color="auto" w:fill="auto"/>
          <w:lang w:val="en-US" w:eastAsia="zh-CN"/>
        </w:rPr>
        <w:t xml:space="preserve">三江侗族自治县发展和改革局             </w:t>
      </w:r>
      <w:r>
        <w:rPr>
          <w:rFonts w:hint="eastAsia" w:ascii="Times New Roman" w:hAnsi="Times New Roman" w:eastAsia="仿宋_GB2312" w:cs="Times New Roman"/>
          <w:color w:val="auto"/>
          <w:kern w:val="2"/>
          <w:sz w:val="28"/>
          <w:szCs w:val="28"/>
          <w:lang w:val="en-US" w:eastAsia="zh-CN" w:bidi="ar-SA"/>
        </w:rPr>
        <w:t>2025</w:t>
      </w:r>
      <w:r>
        <w:rPr>
          <w:rFonts w:hint="eastAsia" w:ascii="仿宋_GB2312" w:hAnsi="仿宋_GB2312" w:eastAsia="仿宋_GB2312" w:cs="仿宋_GB2312"/>
          <w:sz w:val="28"/>
          <w:szCs w:val="28"/>
          <w:highlight w:val="none"/>
          <w:u w:val="none" w:color="auto"/>
          <w:shd w:val="clear" w:color="auto" w:fill="auto"/>
          <w:lang w:eastAsia="zh-CN"/>
        </w:rPr>
        <w:t>年</w:t>
      </w:r>
      <w:r>
        <w:rPr>
          <w:rFonts w:hint="eastAsia" w:ascii="仿宋_GB2312" w:hAnsi="仿宋_GB2312" w:eastAsia="仿宋_GB2312" w:cs="仿宋_GB2312"/>
          <w:sz w:val="28"/>
          <w:szCs w:val="28"/>
          <w:highlight w:val="none"/>
          <w:u w:val="none" w:color="auto"/>
          <w:shd w:val="clear" w:color="auto" w:fill="auto"/>
          <w:lang w:val="en-US" w:eastAsia="zh-CN"/>
        </w:rPr>
        <w:t>10</w:t>
      </w:r>
      <w:r>
        <w:rPr>
          <w:rFonts w:hint="eastAsia" w:ascii="仿宋_GB2312" w:hAnsi="仿宋_GB2312" w:eastAsia="仿宋_GB2312" w:cs="仿宋_GB2312"/>
          <w:sz w:val="28"/>
          <w:szCs w:val="28"/>
          <w:highlight w:val="none"/>
          <w:u w:val="none" w:color="auto"/>
          <w:shd w:val="clear" w:color="auto" w:fill="auto"/>
          <w:lang w:eastAsia="zh-CN"/>
        </w:rPr>
        <w:t>月</w:t>
      </w:r>
      <w:r>
        <w:rPr>
          <w:rFonts w:hint="eastAsia" w:ascii="Times New Roman" w:hAnsi="Times New Roman" w:eastAsia="仿宋_GB2312" w:cs="Times New Roman"/>
          <w:color w:val="auto"/>
          <w:kern w:val="2"/>
          <w:sz w:val="28"/>
          <w:szCs w:val="28"/>
          <w:lang w:val="en-US" w:eastAsia="zh-CN" w:bidi="ar-SA"/>
        </w:rPr>
        <w:t>13</w:t>
      </w:r>
      <w:r>
        <w:rPr>
          <w:rFonts w:hint="eastAsia" w:ascii="仿宋_GB2312" w:hAnsi="仿宋_GB2312" w:eastAsia="仿宋_GB2312" w:cs="仿宋_GB2312"/>
          <w:sz w:val="28"/>
          <w:szCs w:val="28"/>
          <w:highlight w:val="none"/>
          <w:u w:val="none" w:color="auto"/>
          <w:shd w:val="clear" w:color="auto" w:fill="auto"/>
          <w:lang w:eastAsia="zh-CN"/>
        </w:rPr>
        <w:t xml:space="preserve">日印发 </w:t>
      </w:r>
      <w:r>
        <w:rPr>
          <w:rFonts w:hint="eastAsia" w:ascii="仿宋_GB2312" w:hAnsi="仿宋_GB2312" w:eastAsia="仿宋_GB2312" w:cs="仿宋_GB2312"/>
          <w:sz w:val="28"/>
          <w:szCs w:val="28"/>
          <w:highlight w:val="none"/>
          <w:u w:val="none" w:color="auto"/>
          <w:shd w:val="clear" w:color="auto" w:fill="auto"/>
          <w:lang w:val="en-US" w:eastAsia="zh-CN"/>
        </w:rPr>
        <w:t xml:space="preserve"> </w:t>
      </w:r>
    </w:p>
    <w:p>
      <w:pPr>
        <w:widowControl/>
        <w:spacing w:line="600" w:lineRule="exact"/>
        <w:jc w:val="left"/>
        <w:textAlignment w:val="baseline"/>
        <w:rPr>
          <w:rFonts w:hint="eastAsia" w:ascii="仿宋_GB2312" w:eastAsia="仿宋_GB2312"/>
          <w:b/>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701" w:left="1587" w:header="851" w:footer="992" w:gutter="0"/>
          <w:pgNumType w:fmt="decimal"/>
          <w:cols w:space="425" w:num="1"/>
          <w:docGrid w:type="lines" w:linePitch="312" w:charSpace="0"/>
        </w:sectPr>
      </w:pPr>
      <w:r>
        <w:rPr>
          <w:rFonts w:hint="eastAsia" w:ascii="仿宋_GB2312" w:hAnsi="仿宋_GB2312" w:eastAsia="仿宋_GB2312" w:cs="仿宋_GB2312"/>
          <w:sz w:val="28"/>
          <w:szCs w:val="28"/>
          <w:highlight w:val="none"/>
          <w:shd w:val="clear" w:color="auto" w:fill="auto"/>
          <w:lang w:eastAsia="zh-CN"/>
        </w:rPr>
        <w:t xml:space="preserve">                                          </w:t>
      </w:r>
      <w:r>
        <w:rPr>
          <w:rFonts w:hint="eastAsia" w:ascii="仿宋_GB2312" w:hAnsi="仿宋_GB2312" w:eastAsia="仿宋_GB2312" w:cs="仿宋_GB2312"/>
          <w:sz w:val="28"/>
          <w:szCs w:val="28"/>
          <w:highlight w:val="none"/>
          <w:shd w:val="clear" w:color="auto" w:fill="auto"/>
          <w:lang w:val="en-US" w:eastAsia="zh-CN"/>
        </w:rPr>
        <w:t xml:space="preserve">       </w:t>
      </w:r>
      <w:r>
        <w:rPr>
          <w:rFonts w:hint="eastAsia" w:ascii="仿宋_GB2312" w:hAnsi="仿宋_GB2312" w:eastAsia="仿宋_GB2312" w:cs="仿宋_GB2312"/>
          <w:sz w:val="28"/>
          <w:szCs w:val="28"/>
          <w:highlight w:val="none"/>
          <w:shd w:val="clear" w:color="auto" w:fill="auto"/>
        </w:rPr>
        <w:t>（共</w:t>
      </w:r>
      <w:r>
        <w:rPr>
          <w:rFonts w:hint="eastAsia" w:ascii="Times New Roman" w:hAnsi="Times New Roman" w:eastAsia="仿宋_GB2312" w:cs="Times New Roman"/>
          <w:color w:val="auto"/>
          <w:kern w:val="2"/>
          <w:sz w:val="28"/>
          <w:szCs w:val="28"/>
          <w:lang w:val="en-US" w:eastAsia="zh-CN" w:bidi="ar-SA"/>
        </w:rPr>
        <w:t>6</w:t>
      </w:r>
      <w:r>
        <w:rPr>
          <w:rFonts w:hint="eastAsia" w:ascii="仿宋_GB2312" w:hAnsi="仿宋_GB2312" w:eastAsia="仿宋_GB2312" w:cs="仿宋_GB2312"/>
          <w:sz w:val="28"/>
          <w:szCs w:val="28"/>
          <w:highlight w:val="none"/>
          <w:shd w:val="clear" w:color="auto" w:fill="auto"/>
        </w:rPr>
        <w:t>印份）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
        <w:gridCol w:w="1845"/>
        <w:gridCol w:w="1184"/>
        <w:gridCol w:w="850"/>
        <w:gridCol w:w="821"/>
        <w:gridCol w:w="765"/>
        <w:gridCol w:w="1184"/>
        <w:gridCol w:w="792"/>
        <w:gridCol w:w="1509"/>
        <w:gridCol w:w="1985"/>
        <w:gridCol w:w="993"/>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概 算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261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 三江侗族自治县林溪镇程阳集中供水项目</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工程或费用名称</w:t>
            </w:r>
          </w:p>
        </w:tc>
        <w:tc>
          <w:tcPr>
            <w:tcW w:w="17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估算造价（万元）</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技术经济指标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建筑工程费</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设备购置费</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安装工程费</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其他费用</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指标（元/单位）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各项费用所占比例%</w:t>
            </w: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工程费用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1,704.19 </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1,704.19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79.20%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水源工程</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8.03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0.00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8.03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27.10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2962.38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取水头部工程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4.01 </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4.01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25.28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1586.74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水源给排水部分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4.02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4.02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58.32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688.75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取水泵房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255.65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取水泵房建筑部分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33.41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取水泵房给排水部分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222.24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厂区</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240.68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240.68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厂区工程</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237.17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厂区给排水部分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清水池</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30.95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30.95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立方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400.00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773.73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清水池建筑部分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29.66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清水池给排水部分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1.29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进厂公路</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64.49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64.49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取、配水管线</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337.62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337.62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取水管线</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127.06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配水管线</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210.56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新建综合楼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72.56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72.56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305.40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2376.00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新建综合楼建筑部分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62.54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新建综合楼安装部分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10.02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加药房</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12.73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12.73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16.50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7713.85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反冲洗泵房</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10.40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10.40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25.80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4032.09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加压泵房、配电房</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18.00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18.00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43.40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4148.48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村寨给排水</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325.94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325.94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3259416.78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机电安装</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298.66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217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81.66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298.66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2986589.39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机械进退场费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1.35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1.35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10.00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1348.41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简易消毒设备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6.77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0.77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6.77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10.00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6770.62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临时工程</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13.91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13.91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139119.16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路灯工程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6.44 </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6.44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64446.22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工程建设其他费用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345.03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说明及计算式</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项目建设管理费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92.75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建设单位管理费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30.56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20+（工程费用-1000）)*1.5%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 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财建[2016]504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施工图设计文件审查费（含消防审查</w:t>
            </w:r>
            <w:r>
              <w:rPr>
                <w:rFonts w:hint="default" w:ascii="Arial" w:hAnsi="Arial" w:eastAsia="宋体" w:cs="Arial"/>
                <w:i w:val="0"/>
                <w:iCs w:val="0"/>
                <w:color w:val="000000"/>
                <w:kern w:val="0"/>
                <w:sz w:val="22"/>
                <w:szCs w:val="22"/>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3.41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工程费用×2‰+0.6元/平米*建筑面积（消防审查），建筑面积为391.1平米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桂建发[2019] 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绿色建筑施工图设计文件审查费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基本级暂不计取</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招标代理服务费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13.96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桂建发[2019] 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工程招标代理服务费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5.91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工程费*0.3465%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设备招标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监理招标代理服务费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2.68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工程费*0.1575%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工程设计招标代理服务费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2.68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工程费*0.1575%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勘察招标代理服务费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2.68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工程费*0.1575%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工程实施阶段造价咨询费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17.04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招标控制价编制费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5.11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工程费用*0.3%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施工过程的造价控制咨询费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6.82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工程费用*0.4%</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工程结算审核费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5.11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工程费用*0.3% </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工程监理费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27.78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(24.08+（62.48-24.08）/(3000-1000)*（工程费用*0.7-1000）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绿色建筑工程咨询服务费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二</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建设用地费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三</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建设项目前期工作咨询费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17.12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项目建议书编制</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3.43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（4.8-2）/（3000</w:t>
            </w:r>
            <w:r>
              <w:rPr>
                <w:rFonts w:hint="default" w:ascii="Times New Roman" w:hAnsi="Times New Roman" w:eastAsia="宋体" w:cs="Times New Roman"/>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）*（工程费用-</w:t>
            </w:r>
            <w:r>
              <w:rPr>
                <w:rFonts w:hint="default" w:ascii="Times New Roman" w:hAnsi="Times New Roman" w:eastAsia="宋体" w:cs="Times New Roman"/>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行业调整系数</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复杂程度调整系数</w:t>
            </w:r>
            <w:r>
              <w:rPr>
                <w:rFonts w:hint="default" w:ascii="Times New Roman" w:hAnsi="Times New Roman" w:eastAsia="宋体" w:cs="Times New Roman"/>
                <w:i w:val="0"/>
                <w:iCs w:val="0"/>
                <w:color w:val="000000"/>
                <w:kern w:val="0"/>
                <w:sz w:val="22"/>
                <w:szCs w:val="22"/>
                <w:u w:val="none"/>
                <w:lang w:val="en-US" w:eastAsia="zh-CN" w:bidi="ar"/>
              </w:rPr>
              <w:t>1.15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可行性研究报告编制费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7.46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（4.8+（9.6-4.8）/（3000-1000）*（工程费用-1000）*行业调整系数1.0*复杂程度调整系数1.15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可行性研究报告评估费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3.11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（2+（4-2）/（3000-1000）*（工程费用-1000）*行业调整系数1.0*复杂程度调整系数1.15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初步设计文件评估咨询费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3.11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（2+（4-2）/（3000-1000）*（工程费用-1000）*行业调整系数1.0*复杂程度调整系数1.15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编制节能报告</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节能评估报告书评估费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四</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勘察设计费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116.67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勘察钻探费+工程设计费</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工程勘察费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47.72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初步勘察及详细劫察费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17.04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（工程费用+工程建设其他费用）*（0.5%~1%，取1%）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施工勘察费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30.68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（工程费用+工程建设其他费用）*（1.2%~1.8%，取1.8%）</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68.96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基本设计费+其他设计费 </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基本设计费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63.85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(34.92+(93.42-34.92)/(3000-1000)×(工程费-1000))×专业调整系数1.0×工程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复杂程度调整系数1.15×附加调整系数1.0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施工图预算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5.11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工程费用*0.3%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绿色建筑设计费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五</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环境影响咨询费</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报告书）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不纳入环评管理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六</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场地准备费及临时设施费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8.52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工程费用×0.5%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七</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工程保险费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5.11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工程费用×0.3%</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八</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城镇基础设施配套费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九</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电梯检验检测费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桂价费〔2007〕301号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桂价费〔2010〕95号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十</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工程检验试验费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10.23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工程费用×0.6% </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高可靠性供电费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桂价费字〔2004〕70号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桂政发〔2016〕20号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w:t>
            </w:r>
            <w:r>
              <w:rPr>
                <w:rFonts w:hint="default" w:ascii="Arial" w:hAnsi="Arial" w:eastAsia="宋体" w:cs="Arial"/>
                <w:i w:val="0"/>
                <w:iCs w:val="0"/>
                <w:color w:val="000000"/>
                <w:kern w:val="0"/>
                <w:sz w:val="22"/>
                <w:szCs w:val="22"/>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其他费用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94.62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根据拟建工程实际及市场情况计算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防空地下易地建设费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免收</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桂设协[2020]92号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地质灾害危险性评价费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移民与环境投资</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65.86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征地移民补偿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47.99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水土保持工程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11.17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环境保护工程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6.70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水土保持方案编制费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专题报告费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28.76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按合同价</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预备费用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102.46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4.76%</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桂建标[2018]37号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基本预备费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102.46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（工程费用+工程建设其他费用）*5%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涨价预备费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建设投资</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2,151.67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建设期贷款利息</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流动资金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项目总投资</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2,151.67 </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color w:val="000000"/>
          <w:sz w:val="32"/>
          <w:szCs w:val="32"/>
        </w:rPr>
      </w:pPr>
    </w:p>
    <w:sectPr>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15287"/>
    <w:multiLevelType w:val="singleLevel"/>
    <w:tmpl w:val="F9D152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zYxMzFkYzgzMTdhZWNjOGFjYTU0ZDE5OGZkMjcifQ=="/>
  </w:docVars>
  <w:rsids>
    <w:rsidRoot w:val="00172A27"/>
    <w:rsid w:val="00005376"/>
    <w:rsid w:val="000140FB"/>
    <w:rsid w:val="000D3B98"/>
    <w:rsid w:val="001E765B"/>
    <w:rsid w:val="002633F5"/>
    <w:rsid w:val="003B649B"/>
    <w:rsid w:val="00491C3F"/>
    <w:rsid w:val="00720744"/>
    <w:rsid w:val="007435CC"/>
    <w:rsid w:val="00947E9A"/>
    <w:rsid w:val="00AB2D24"/>
    <w:rsid w:val="00C03E20"/>
    <w:rsid w:val="00CE153F"/>
    <w:rsid w:val="00D95633"/>
    <w:rsid w:val="01473862"/>
    <w:rsid w:val="017048CE"/>
    <w:rsid w:val="019D7E34"/>
    <w:rsid w:val="01B065BA"/>
    <w:rsid w:val="01D27235"/>
    <w:rsid w:val="02593ECD"/>
    <w:rsid w:val="02867A62"/>
    <w:rsid w:val="029762CA"/>
    <w:rsid w:val="032C14F8"/>
    <w:rsid w:val="0352712B"/>
    <w:rsid w:val="043946F6"/>
    <w:rsid w:val="07330202"/>
    <w:rsid w:val="07D07B1E"/>
    <w:rsid w:val="081E5BA9"/>
    <w:rsid w:val="08BD5376"/>
    <w:rsid w:val="08C22287"/>
    <w:rsid w:val="0E3E0F1E"/>
    <w:rsid w:val="0F0266E8"/>
    <w:rsid w:val="0F0A5188"/>
    <w:rsid w:val="0F63262D"/>
    <w:rsid w:val="0F6C0CB5"/>
    <w:rsid w:val="0F82363A"/>
    <w:rsid w:val="0FF4778C"/>
    <w:rsid w:val="10551F3F"/>
    <w:rsid w:val="11356EF3"/>
    <w:rsid w:val="12B601D6"/>
    <w:rsid w:val="12D34043"/>
    <w:rsid w:val="130B1D07"/>
    <w:rsid w:val="133D0D7E"/>
    <w:rsid w:val="134200E8"/>
    <w:rsid w:val="156F721A"/>
    <w:rsid w:val="1638452A"/>
    <w:rsid w:val="16877D63"/>
    <w:rsid w:val="16AA6664"/>
    <w:rsid w:val="16AE51E4"/>
    <w:rsid w:val="16BB713A"/>
    <w:rsid w:val="16BD71BC"/>
    <w:rsid w:val="16E657FD"/>
    <w:rsid w:val="170922F1"/>
    <w:rsid w:val="178075D9"/>
    <w:rsid w:val="18C51B2C"/>
    <w:rsid w:val="18E8095B"/>
    <w:rsid w:val="19103AFF"/>
    <w:rsid w:val="19B51A3C"/>
    <w:rsid w:val="1A5A6CBF"/>
    <w:rsid w:val="1B7F4EF3"/>
    <w:rsid w:val="1CC12C29"/>
    <w:rsid w:val="1CE353B0"/>
    <w:rsid w:val="1D181B85"/>
    <w:rsid w:val="1D240CFD"/>
    <w:rsid w:val="1D9C4564"/>
    <w:rsid w:val="1DD01FE8"/>
    <w:rsid w:val="1DEB10E9"/>
    <w:rsid w:val="1E557E1C"/>
    <w:rsid w:val="1F432FB0"/>
    <w:rsid w:val="1F8867CD"/>
    <w:rsid w:val="20637832"/>
    <w:rsid w:val="208C3FBB"/>
    <w:rsid w:val="20EA4C36"/>
    <w:rsid w:val="21336889"/>
    <w:rsid w:val="216B29E8"/>
    <w:rsid w:val="21AC5AE7"/>
    <w:rsid w:val="21B247C8"/>
    <w:rsid w:val="21E8795C"/>
    <w:rsid w:val="252512E3"/>
    <w:rsid w:val="26FE3E53"/>
    <w:rsid w:val="274F69B1"/>
    <w:rsid w:val="291440B1"/>
    <w:rsid w:val="2A680259"/>
    <w:rsid w:val="2BC17A5E"/>
    <w:rsid w:val="2BF202D9"/>
    <w:rsid w:val="2C0B7CB5"/>
    <w:rsid w:val="2C2220D9"/>
    <w:rsid w:val="2D34345D"/>
    <w:rsid w:val="2DEE3D58"/>
    <w:rsid w:val="2DF3169B"/>
    <w:rsid w:val="2F1A6610"/>
    <w:rsid w:val="2F3D5F79"/>
    <w:rsid w:val="302C6BA1"/>
    <w:rsid w:val="30545A47"/>
    <w:rsid w:val="31590F6F"/>
    <w:rsid w:val="316F4822"/>
    <w:rsid w:val="319D38D5"/>
    <w:rsid w:val="31BA1FD9"/>
    <w:rsid w:val="32635AAE"/>
    <w:rsid w:val="33736BAC"/>
    <w:rsid w:val="33B34D97"/>
    <w:rsid w:val="33C8181B"/>
    <w:rsid w:val="33FC1920"/>
    <w:rsid w:val="352242A3"/>
    <w:rsid w:val="3533156D"/>
    <w:rsid w:val="35A17EA7"/>
    <w:rsid w:val="361A3DFF"/>
    <w:rsid w:val="36323CD4"/>
    <w:rsid w:val="391632C2"/>
    <w:rsid w:val="39AA162A"/>
    <w:rsid w:val="39B26D8F"/>
    <w:rsid w:val="39B5249E"/>
    <w:rsid w:val="3AB161BF"/>
    <w:rsid w:val="3AC072EB"/>
    <w:rsid w:val="3AD00990"/>
    <w:rsid w:val="3B2D2F4F"/>
    <w:rsid w:val="3B4637FD"/>
    <w:rsid w:val="3D404D15"/>
    <w:rsid w:val="3D5410FA"/>
    <w:rsid w:val="3DD95F3F"/>
    <w:rsid w:val="3EDF3998"/>
    <w:rsid w:val="3EFC4D0C"/>
    <w:rsid w:val="3F9B47AE"/>
    <w:rsid w:val="41883525"/>
    <w:rsid w:val="41937ED2"/>
    <w:rsid w:val="41AB1ABC"/>
    <w:rsid w:val="421C6124"/>
    <w:rsid w:val="42A653BA"/>
    <w:rsid w:val="43BE4348"/>
    <w:rsid w:val="43E07169"/>
    <w:rsid w:val="44142C02"/>
    <w:rsid w:val="44F77A3C"/>
    <w:rsid w:val="45727E7A"/>
    <w:rsid w:val="468F3B3C"/>
    <w:rsid w:val="47816A8E"/>
    <w:rsid w:val="48776413"/>
    <w:rsid w:val="49F85EAD"/>
    <w:rsid w:val="4A9E70EE"/>
    <w:rsid w:val="4AD8784F"/>
    <w:rsid w:val="4B051C8E"/>
    <w:rsid w:val="4B0A6E5A"/>
    <w:rsid w:val="4D0005C3"/>
    <w:rsid w:val="4DE4464F"/>
    <w:rsid w:val="4EB1239C"/>
    <w:rsid w:val="4F3A447F"/>
    <w:rsid w:val="4F4E12B3"/>
    <w:rsid w:val="4F8F6AE5"/>
    <w:rsid w:val="50450343"/>
    <w:rsid w:val="51316049"/>
    <w:rsid w:val="513B318D"/>
    <w:rsid w:val="522A172C"/>
    <w:rsid w:val="525C0695"/>
    <w:rsid w:val="53BE1B48"/>
    <w:rsid w:val="54D70544"/>
    <w:rsid w:val="54EF125B"/>
    <w:rsid w:val="55B845C8"/>
    <w:rsid w:val="55C722E8"/>
    <w:rsid w:val="56E0489A"/>
    <w:rsid w:val="572A2ADA"/>
    <w:rsid w:val="57416D55"/>
    <w:rsid w:val="575A00DA"/>
    <w:rsid w:val="57CF5C30"/>
    <w:rsid w:val="590A25A3"/>
    <w:rsid w:val="59F51256"/>
    <w:rsid w:val="5AAA07CF"/>
    <w:rsid w:val="5B3801EE"/>
    <w:rsid w:val="5CEE6C70"/>
    <w:rsid w:val="5D2F1C45"/>
    <w:rsid w:val="5D396201"/>
    <w:rsid w:val="5DFD716B"/>
    <w:rsid w:val="5FE2569F"/>
    <w:rsid w:val="5FFF2ECD"/>
    <w:rsid w:val="60930AB6"/>
    <w:rsid w:val="60CA3BC3"/>
    <w:rsid w:val="60E96A5C"/>
    <w:rsid w:val="61C74C00"/>
    <w:rsid w:val="626540F2"/>
    <w:rsid w:val="63640A32"/>
    <w:rsid w:val="63A83496"/>
    <w:rsid w:val="63E277AA"/>
    <w:rsid w:val="63F52C4F"/>
    <w:rsid w:val="64565AEC"/>
    <w:rsid w:val="646239AF"/>
    <w:rsid w:val="665948EE"/>
    <w:rsid w:val="667A1959"/>
    <w:rsid w:val="671D68A3"/>
    <w:rsid w:val="678A3044"/>
    <w:rsid w:val="685F0ABA"/>
    <w:rsid w:val="686367F4"/>
    <w:rsid w:val="6A794FDE"/>
    <w:rsid w:val="6B010388"/>
    <w:rsid w:val="6B30277C"/>
    <w:rsid w:val="6B6317EA"/>
    <w:rsid w:val="6C191A78"/>
    <w:rsid w:val="6C304265"/>
    <w:rsid w:val="6DE62C1E"/>
    <w:rsid w:val="6E7C0351"/>
    <w:rsid w:val="6E9A5A75"/>
    <w:rsid w:val="6EF15783"/>
    <w:rsid w:val="6EF220B9"/>
    <w:rsid w:val="6F7B6738"/>
    <w:rsid w:val="709D52CF"/>
    <w:rsid w:val="71D41097"/>
    <w:rsid w:val="727A75DD"/>
    <w:rsid w:val="73145C77"/>
    <w:rsid w:val="73C35025"/>
    <w:rsid w:val="7673611B"/>
    <w:rsid w:val="76AC02FB"/>
    <w:rsid w:val="76E83409"/>
    <w:rsid w:val="770A0DC0"/>
    <w:rsid w:val="77904DB5"/>
    <w:rsid w:val="784A216C"/>
    <w:rsid w:val="788271DA"/>
    <w:rsid w:val="78A472B9"/>
    <w:rsid w:val="7A13192C"/>
    <w:rsid w:val="7B163572"/>
    <w:rsid w:val="7BE643B9"/>
    <w:rsid w:val="7BF43A32"/>
    <w:rsid w:val="7C631FC4"/>
    <w:rsid w:val="7D602F8B"/>
    <w:rsid w:val="7DFE6501"/>
    <w:rsid w:val="7E641FC5"/>
    <w:rsid w:val="7F106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w:basedOn w:val="1"/>
    <w:link w:val="16"/>
    <w:qFormat/>
    <w:uiPriority w:val="0"/>
    <w:rPr>
      <w:rFonts w:ascii="Times New Roman" w:hAnsi="Times New Roman" w:eastAsia="宋体" w:cs="Times New Roman"/>
      <w:sz w:val="44"/>
      <w:szCs w:val="20"/>
    </w:rPr>
  </w:style>
  <w:style w:type="paragraph" w:styleId="4">
    <w:name w:val="Body Text Indent"/>
    <w:basedOn w:val="1"/>
    <w:link w:val="17"/>
    <w:qFormat/>
    <w:uiPriority w:val="0"/>
    <w:pPr>
      <w:spacing w:line="360" w:lineRule="exact"/>
      <w:ind w:firstLine="658" w:firstLineChars="235"/>
    </w:pPr>
    <w:rPr>
      <w:rFonts w:ascii="仿宋_GB2312" w:hAnsi="Times New Roman" w:eastAsia="仿宋_GB2312" w:cs="Times New Roman"/>
      <w:sz w:val="28"/>
      <w:szCs w:val="20"/>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99"/>
    <w:pPr>
      <w:spacing w:after="120" w:line="480" w:lineRule="auto"/>
    </w:pPr>
    <w:rPr>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11111"/>
    <w:basedOn w:val="1"/>
    <w:next w:val="1"/>
    <w:qFormat/>
    <w:uiPriority w:val="0"/>
    <w:pPr>
      <w:spacing w:line="360" w:lineRule="auto"/>
      <w:ind w:firstLine="200" w:firstLineChars="200"/>
    </w:pPr>
    <w:rPr>
      <w:rFonts w:ascii="宋体" w:hAnsi="宋体" w:cs="宋体"/>
      <w:sz w:val="24"/>
    </w:rPr>
  </w:style>
  <w:style w:type="character" w:customStyle="1" w:styleId="14">
    <w:name w:val="页眉 Char"/>
    <w:basedOn w:val="12"/>
    <w:link w:val="6"/>
    <w:qFormat/>
    <w:uiPriority w:val="0"/>
    <w:rPr>
      <w:rFonts w:asciiTheme="minorHAnsi" w:hAnsiTheme="minorHAnsi" w:eastAsiaTheme="minorEastAsia" w:cstheme="minorBidi"/>
      <w:kern w:val="2"/>
      <w:sz w:val="18"/>
      <w:szCs w:val="18"/>
    </w:rPr>
  </w:style>
  <w:style w:type="character" w:customStyle="1" w:styleId="15">
    <w:name w:val="页脚 Char"/>
    <w:basedOn w:val="12"/>
    <w:link w:val="5"/>
    <w:qFormat/>
    <w:uiPriority w:val="0"/>
    <w:rPr>
      <w:rFonts w:asciiTheme="minorHAnsi" w:hAnsiTheme="minorHAnsi" w:eastAsiaTheme="minorEastAsia" w:cstheme="minorBidi"/>
      <w:kern w:val="2"/>
      <w:sz w:val="18"/>
      <w:szCs w:val="18"/>
    </w:rPr>
  </w:style>
  <w:style w:type="character" w:customStyle="1" w:styleId="16">
    <w:name w:val="正文文本 Char"/>
    <w:basedOn w:val="12"/>
    <w:link w:val="3"/>
    <w:qFormat/>
    <w:uiPriority w:val="0"/>
    <w:rPr>
      <w:kern w:val="2"/>
      <w:sz w:val="44"/>
    </w:rPr>
  </w:style>
  <w:style w:type="character" w:customStyle="1" w:styleId="17">
    <w:name w:val="正文文本缩进 Char"/>
    <w:basedOn w:val="12"/>
    <w:link w:val="4"/>
    <w:qFormat/>
    <w:uiPriority w:val="0"/>
    <w:rPr>
      <w:rFonts w:ascii="仿宋_GB2312" w:eastAsia="仿宋_GB2312"/>
      <w:kern w:val="2"/>
      <w:sz w:val="28"/>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11"/>
    <w:basedOn w:val="12"/>
    <w:qFormat/>
    <w:uiPriority w:val="0"/>
    <w:rPr>
      <w:rFonts w:hint="eastAsia" w:ascii="宋体" w:hAnsi="宋体" w:eastAsia="宋体" w:cs="宋体"/>
      <w:color w:val="000000"/>
      <w:sz w:val="24"/>
      <w:szCs w:val="24"/>
      <w:u w:val="none"/>
    </w:rPr>
  </w:style>
  <w:style w:type="character" w:customStyle="1" w:styleId="20">
    <w:name w:val="font21"/>
    <w:basedOn w:val="12"/>
    <w:qFormat/>
    <w:uiPriority w:val="0"/>
    <w:rPr>
      <w:rFonts w:hint="eastAsia" w:ascii="宋体" w:hAnsi="宋体" w:eastAsia="宋体" w:cs="宋体"/>
      <w:color w:val="000000"/>
      <w:sz w:val="20"/>
      <w:szCs w:val="20"/>
      <w:u w:val="none"/>
    </w:rPr>
  </w:style>
  <w:style w:type="character" w:customStyle="1" w:styleId="21">
    <w:name w:val="font81"/>
    <w:basedOn w:val="12"/>
    <w:qFormat/>
    <w:uiPriority w:val="0"/>
    <w:rPr>
      <w:rFonts w:hint="default" w:ascii="Times New Roman" w:hAnsi="Times New Roman" w:cs="Times New Roman"/>
      <w:color w:val="000000"/>
      <w:sz w:val="20"/>
      <w:szCs w:val="20"/>
      <w:u w:val="none"/>
    </w:rPr>
  </w:style>
  <w:style w:type="character" w:customStyle="1" w:styleId="22">
    <w:name w:val="font141"/>
    <w:basedOn w:val="12"/>
    <w:qFormat/>
    <w:uiPriority w:val="0"/>
    <w:rPr>
      <w:rFonts w:hint="eastAsia" w:ascii="Batang" w:hAnsi="Batang" w:eastAsia="Batang" w:cs="Batang"/>
      <w:b/>
      <w:color w:val="000000"/>
      <w:sz w:val="20"/>
      <w:szCs w:val="20"/>
      <w:u w:val="none"/>
    </w:rPr>
  </w:style>
  <w:style w:type="character" w:customStyle="1" w:styleId="23">
    <w:name w:val="font31"/>
    <w:basedOn w:val="12"/>
    <w:qFormat/>
    <w:uiPriority w:val="0"/>
    <w:rPr>
      <w:rFonts w:hint="eastAsia" w:ascii="Batang" w:hAnsi="Batang" w:eastAsia="Batang" w:cs="Batang"/>
      <w:b/>
      <w:color w:val="000000"/>
      <w:sz w:val="20"/>
      <w:szCs w:val="20"/>
      <w:u w:val="none"/>
      <w:vertAlign w:val="superscript"/>
    </w:rPr>
  </w:style>
  <w:style w:type="character" w:customStyle="1" w:styleId="24">
    <w:name w:val="font91"/>
    <w:basedOn w:val="12"/>
    <w:qFormat/>
    <w:uiPriority w:val="0"/>
    <w:rPr>
      <w:rFonts w:hint="eastAsia" w:ascii="Batang" w:hAnsi="Batang" w:eastAsia="Batang" w:cs="Batang"/>
      <w:b/>
      <w:color w:val="000000"/>
      <w:sz w:val="20"/>
      <w:szCs w:val="20"/>
      <w:u w:val="none"/>
    </w:rPr>
  </w:style>
  <w:style w:type="character" w:customStyle="1" w:styleId="25">
    <w:name w:val="font112"/>
    <w:basedOn w:val="12"/>
    <w:qFormat/>
    <w:uiPriority w:val="0"/>
    <w:rPr>
      <w:rFonts w:hint="eastAsia" w:ascii="Batang" w:hAnsi="Batang" w:eastAsia="Batang" w:cs="Batang"/>
      <w:b/>
      <w:color w:val="000000"/>
      <w:sz w:val="20"/>
      <w:szCs w:val="20"/>
      <w:u w:val="none"/>
      <w:vertAlign w:val="superscript"/>
    </w:rPr>
  </w:style>
  <w:style w:type="character" w:customStyle="1" w:styleId="26">
    <w:name w:val="font131"/>
    <w:basedOn w:val="12"/>
    <w:qFormat/>
    <w:uiPriority w:val="0"/>
    <w:rPr>
      <w:rFonts w:hint="eastAsia" w:ascii="宋体" w:hAnsi="宋体" w:eastAsia="宋体" w:cs="宋体"/>
      <w:b/>
      <w:bCs/>
      <w:color w:val="000000"/>
      <w:sz w:val="16"/>
      <w:szCs w:val="16"/>
      <w:u w:val="none"/>
    </w:rPr>
  </w:style>
  <w:style w:type="character" w:customStyle="1" w:styleId="27">
    <w:name w:val="font121"/>
    <w:basedOn w:val="12"/>
    <w:qFormat/>
    <w:uiPriority w:val="0"/>
    <w:rPr>
      <w:rFonts w:hint="eastAsia" w:ascii="宋体" w:hAnsi="宋体" w:eastAsia="宋体" w:cs="宋体"/>
      <w:b/>
      <w:bCs/>
      <w:color w:val="000000"/>
      <w:sz w:val="18"/>
      <w:szCs w:val="18"/>
      <w:u w:val="none"/>
    </w:rPr>
  </w:style>
  <w:style w:type="character" w:customStyle="1" w:styleId="28">
    <w:name w:val="font101"/>
    <w:basedOn w:val="12"/>
    <w:qFormat/>
    <w:uiPriority w:val="0"/>
    <w:rPr>
      <w:rFonts w:hint="eastAsia" w:ascii="仿宋_GB2312" w:eastAsia="仿宋_GB2312" w:cs="仿宋_GB2312"/>
      <w:color w:val="000000"/>
      <w:sz w:val="24"/>
      <w:szCs w:val="24"/>
      <w:u w:val="none"/>
      <w:vertAlign w:val="superscript"/>
    </w:rPr>
  </w:style>
  <w:style w:type="character" w:customStyle="1" w:styleId="29">
    <w:name w:val="font01"/>
    <w:basedOn w:val="12"/>
    <w:qFormat/>
    <w:uiPriority w:val="0"/>
    <w:rPr>
      <w:rFonts w:hint="eastAsia" w:ascii="宋体" w:hAnsi="宋体" w:eastAsia="宋体" w:cs="宋体"/>
      <w:color w:val="000000"/>
      <w:sz w:val="22"/>
      <w:szCs w:val="22"/>
      <w:u w:val="none"/>
    </w:rPr>
  </w:style>
  <w:style w:type="character" w:customStyle="1" w:styleId="30">
    <w:name w:val="font132"/>
    <w:basedOn w:val="12"/>
    <w:qFormat/>
    <w:uiPriority w:val="0"/>
    <w:rPr>
      <w:rFonts w:hint="default" w:ascii="Arial" w:hAnsi="Arial" w:cs="Arial"/>
      <w:color w:val="000000"/>
      <w:sz w:val="22"/>
      <w:szCs w:val="22"/>
      <w:u w:val="none"/>
    </w:rPr>
  </w:style>
  <w:style w:type="character" w:customStyle="1" w:styleId="31">
    <w:name w:val="font191"/>
    <w:basedOn w:val="12"/>
    <w:qFormat/>
    <w:uiPriority w:val="0"/>
    <w:rPr>
      <w:rFonts w:hint="default" w:ascii="Times New Roman" w:hAnsi="Times New Roman" w:cs="Times New Roman"/>
      <w:color w:val="000000"/>
      <w:sz w:val="22"/>
      <w:szCs w:val="22"/>
      <w:u w:val="none"/>
    </w:rPr>
  </w:style>
  <w:style w:type="character" w:customStyle="1" w:styleId="32">
    <w:name w:val="font13"/>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755</Words>
  <Characters>869</Characters>
  <Lines>1</Lines>
  <Paragraphs>1</Paragraphs>
  <TotalTime>1</TotalTime>
  <ScaleCrop>false</ScaleCrop>
  <LinksUpToDate>false</LinksUpToDate>
  <CharactersWithSpaces>1102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2020-03-26T02:10:00Z</dcterms:created>
  <dc:creator>Administrator</dc:creator>
  <cp:lastModifiedBy>Administrator</cp:lastModifiedBy>
  <cp:lastPrinted>2025-11-05T02:07:43Z</cp:lastPrinted>
  <dcterms:modified xsi:type="dcterms:W3CDTF">2025-11-05T02:17:27Z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87568B818CF44E029D477E1C4E3A4600</vt:lpwstr>
  </property>
  <property fmtid="{D5CDD505-2E9C-101B-9397-08002B2CF9AE}" pid="4" name="KSOTemplateDocerSaveRecord">
    <vt:lpwstr>eyJoZGlkIjoiYzE4NzYxMzFkYzgzMTdhZWNjOGFjYTU0ZDE5OGZkMjciLCJ1c2VySWQiOiI0MDgxNDU1NTAifQ==</vt:lpwstr>
  </property>
</Properties>
</file>