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/>
          <w:color w:val="FF0000"/>
          <w:spacing w:val="100"/>
          <w:w w:val="9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color w:val="FF0000"/>
          <w:spacing w:val="100"/>
          <w:w w:val="90"/>
          <w:sz w:val="52"/>
          <w:szCs w:val="52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FF0000"/>
          <w:spacing w:val="100"/>
          <w:sz w:val="72"/>
          <w:szCs w:val="7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00"/>
          <w:sz w:val="72"/>
          <w:szCs w:val="72"/>
        </w:rPr>
        <w:t>三江侗族自治县</w:t>
      </w:r>
    </w:p>
    <w:p>
      <w:pPr>
        <w:jc w:val="center"/>
        <w:rPr>
          <w:rFonts w:hint="eastAsia" w:ascii="方正小标宋简体" w:eastAsia="方正小标宋简体"/>
          <w:color w:val="FF0000"/>
          <w:spacing w:val="124"/>
          <w:w w:val="90"/>
          <w:sz w:val="84"/>
          <w:szCs w:val="84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  <w:lang w:eastAsia="zh-CN"/>
        </w:rPr>
        <w:t>发展和改革局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</w:rPr>
        <w:t>文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  <w:lang w:eastAsia="zh-CN"/>
        </w:rPr>
        <w:t>件</w:t>
      </w:r>
    </w:p>
    <w:p>
      <w:pPr>
        <w:jc w:val="both"/>
        <w:rPr>
          <w:rFonts w:hint="eastAsia" w:ascii="宋体" w:hAnsi="宋体" w:eastAsia="宋体" w:cs="宋体"/>
          <w:color w:val="FF0000"/>
          <w:spacing w:val="124"/>
          <w:w w:val="9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color w:val="FF0000"/>
          <w:spacing w:val="124"/>
          <w:w w:val="90"/>
          <w:sz w:val="24"/>
          <w:szCs w:val="24"/>
        </w:rPr>
      </w:pPr>
    </w:p>
    <w:p>
      <w:pPr>
        <w:rPr>
          <w:rFonts w:hint="eastAsia" w:ascii="仿宋" w:hAnsi="仿宋" w:eastAsia="仿宋_GB2312" w:cs="仿宋"/>
          <w:b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424815</wp:posOffset>
                </wp:positionV>
                <wp:extent cx="58293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5pt;margin-top:33.45pt;height:0pt;width:459pt;z-index:251660288;mso-width-relative:page;mso-height-relative:page;" filled="f" stroked="t" coordsize="21600,21600" o:gfxdata="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E5io2gAAAAkBAAAPAAAAAAAAAAEAIAAAACIAAABkcnMvZG93bnJl&#10;di54bWxQSwECFAAUAAAACACHTuJASMnNWPsBAADzAwAADgAAAAAAAAABACAAAAAp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三发改字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〔2025〕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109</w:t>
      </w:r>
      <w:r>
        <w:rPr>
          <w:rFonts w:hint="eastAsia" w:ascii="仿宋_GB2312" w:eastAsia="仿宋_GB2312"/>
          <w:sz w:val="32"/>
          <w:szCs w:val="32"/>
        </w:rPr>
        <w:t xml:space="preserve">号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杨海权</w:t>
      </w:r>
      <w:bookmarkEnd w:id="0"/>
    </w:p>
    <w:p>
      <w:pPr>
        <w:pStyle w:val="2"/>
        <w:spacing w:line="400" w:lineRule="exact"/>
        <w:rPr>
          <w:b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斗江镇绿满园蛋鸡养殖场项目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初步设计及概算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的批复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Times New Roman"/>
          <w:kern w:val="2"/>
          <w:sz w:val="32"/>
          <w:szCs w:val="20"/>
          <w:lang w:val="en-US" w:eastAsia="zh-CN" w:bidi="ar-SA"/>
        </w:rPr>
        <w:t>三江侗族自治县</w:t>
      </w:r>
      <w:r>
        <w:rPr>
          <w:rFonts w:hint="eastAsia" w:ascii="仿宋_GB2312" w:eastAsia="仿宋_GB2312" w:cs="Times New Roman"/>
          <w:kern w:val="2"/>
          <w:sz w:val="32"/>
          <w:szCs w:val="20"/>
          <w:lang w:val="en-US" w:eastAsia="zh-CN" w:bidi="ar-SA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</w:t>
      </w:r>
      <w:r>
        <w:rPr>
          <w:rFonts w:hint="eastAsia" w:hAnsi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报来《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hAnsi="仿宋_GB2312" w:cs="仿宋_GB2312"/>
          <w:sz w:val="32"/>
          <w:szCs w:val="32"/>
          <w:lang w:eastAsia="zh-CN"/>
        </w:rPr>
        <w:t>批复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斗江镇绿满园蛋鸡养殖场</w:t>
      </w:r>
      <w:r>
        <w:rPr>
          <w:rFonts w:hint="eastAsia" w:hAnsi="仿宋_GB2312" w:cs="仿宋_GB2312"/>
          <w:sz w:val="32"/>
          <w:szCs w:val="32"/>
          <w:lang w:eastAsia="zh-CN"/>
        </w:rPr>
        <w:t>初步设计及概算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hAnsi="仿宋_GB2312" w:cs="仿宋_GB2312"/>
          <w:sz w:val="32"/>
          <w:szCs w:val="32"/>
          <w:lang w:eastAsia="zh-CN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农业农村函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168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号）收悉。经研究，现批复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同意你</w:t>
      </w:r>
      <w:r>
        <w:rPr>
          <w:rFonts w:hint="eastAsia" w:hAnsi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斗江镇绿满园蛋鸡养殖场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及概算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方案，请按有关要求进行方案优化设计。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18" w:rightChars="-10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 资 项 目 审 批 监 管 平 台 项 目 代 码 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2506-450226-04-01-152682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三、项目建设地点：</w:t>
      </w:r>
      <w:r>
        <w:rPr>
          <w:rFonts w:hint="eastAsia" w:ascii="仿宋_GB2312" w:eastAsia="仿宋_GB2312" w:cs="Times New Roman"/>
          <w:kern w:val="2"/>
          <w:sz w:val="32"/>
          <w:szCs w:val="20"/>
          <w:lang w:val="en-US" w:eastAsia="zh-CN" w:bidi="ar-SA"/>
        </w:rPr>
        <w:t>三江侗族自治县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斗江镇斗江社区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四、项目建设规模及内容：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项目规划用地面积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7330.68平方米，</w:t>
      </w:r>
      <w:r>
        <w:rPr>
          <w:rFonts w:hint="default" w:ascii="Times New Roman" w:hAnsi="Times New Roman" w:eastAsia="仿宋_GB2312" w:cs="Times New Roman"/>
          <w:sz w:val="32"/>
        </w:rPr>
        <w:t>总建筑面积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2526.06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平方米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主要建设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内容为</w:t>
      </w:r>
      <w:r>
        <w:rPr>
          <w:rFonts w:hint="default" w:ascii="Times New Roman" w:hAnsi="Times New Roman" w:eastAsia="仿宋_GB2312" w:cs="Times New Roman"/>
          <w:sz w:val="32"/>
        </w:rPr>
        <w:t>蛋鸡舍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1329.56平方米</w:t>
      </w:r>
      <w:r>
        <w:rPr>
          <w:rFonts w:hint="default" w:ascii="Times New Roman" w:hAnsi="Times New Roman" w:eastAsia="仿宋_GB2312" w:cs="Times New Roman"/>
          <w:sz w:val="32"/>
        </w:rPr>
        <w:t>、鸡蛋库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533平方米、</w:t>
      </w:r>
      <w:r>
        <w:rPr>
          <w:rFonts w:hint="default" w:ascii="Times New Roman" w:hAnsi="Times New Roman" w:eastAsia="仿宋_GB2312" w:cs="Times New Roman"/>
          <w:sz w:val="32"/>
        </w:rPr>
        <w:t>料房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341.89平方米</w:t>
      </w:r>
      <w:r>
        <w:rPr>
          <w:rFonts w:hint="default" w:ascii="Times New Roman" w:hAnsi="Times New Roman" w:eastAsia="仿宋_GB2312" w:cs="Times New Roman"/>
          <w:sz w:val="32"/>
        </w:rPr>
        <w:t>、隔离舍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51.24平方米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</w:rPr>
        <w:t xml:space="preserve">储粪棚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207.37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平方米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sz w:val="32"/>
        </w:rPr>
        <w:t>室外道路、给排水管线、电力管线、绿化、围墙等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配套设施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新建1栋蛋鸡舍，共一层，建筑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檐口</w:t>
      </w:r>
      <w:r>
        <w:rPr>
          <w:rFonts w:hint="default" w:ascii="Times New Roman" w:hAnsi="Times New Roman" w:eastAsia="仿宋_GB2312" w:cs="Times New Roman"/>
          <w:sz w:val="32"/>
        </w:rPr>
        <w:t>高度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4.85</w:t>
      </w:r>
      <w:r>
        <w:rPr>
          <w:rFonts w:hint="default" w:ascii="Times New Roman" w:hAnsi="Times New Roman" w:eastAsia="仿宋_GB2312" w:cs="Times New Roman"/>
          <w:sz w:val="32"/>
        </w:rPr>
        <w:t xml:space="preserve">米，采用轻钢结构，建筑面积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1329.56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新建1栋鸡蛋库，共一层，建筑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檐口</w:t>
      </w:r>
      <w:r>
        <w:rPr>
          <w:rFonts w:hint="default" w:ascii="Times New Roman" w:hAnsi="Times New Roman" w:eastAsia="仿宋_GB2312" w:cs="Times New Roman"/>
          <w:sz w:val="32"/>
        </w:rPr>
        <w:t>高度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4.85</w:t>
      </w:r>
      <w:r>
        <w:rPr>
          <w:rFonts w:hint="default" w:ascii="Times New Roman" w:hAnsi="Times New Roman" w:eastAsia="仿宋_GB2312" w:cs="Times New Roman"/>
          <w:sz w:val="32"/>
        </w:rPr>
        <w:t xml:space="preserve">米，采用轻钢结构，建筑面积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533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新建1栋储粪棚，共一层，建筑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檐口</w:t>
      </w:r>
      <w:r>
        <w:rPr>
          <w:rFonts w:hint="default" w:ascii="Times New Roman" w:hAnsi="Times New Roman" w:eastAsia="仿宋_GB2312" w:cs="Times New Roman"/>
          <w:sz w:val="32"/>
        </w:rPr>
        <w:t>高度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7.85</w:t>
      </w:r>
      <w:r>
        <w:rPr>
          <w:rFonts w:hint="default" w:ascii="Times New Roman" w:hAnsi="Times New Roman" w:eastAsia="仿宋_GB2312" w:cs="Times New Roman"/>
          <w:sz w:val="32"/>
        </w:rPr>
        <w:t xml:space="preserve">米，采用轻钢结构，建筑面积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207.37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</w:rPr>
        <w:t>新建1栋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料房</w:t>
      </w:r>
      <w:r>
        <w:rPr>
          <w:rFonts w:hint="default" w:ascii="Times New Roman" w:hAnsi="Times New Roman" w:eastAsia="仿宋_GB2312" w:cs="Times New Roman"/>
          <w:sz w:val="32"/>
        </w:rPr>
        <w:t>，共一层，建筑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檐口</w:t>
      </w:r>
      <w:r>
        <w:rPr>
          <w:rFonts w:hint="default" w:ascii="Times New Roman" w:hAnsi="Times New Roman" w:eastAsia="仿宋_GB2312" w:cs="Times New Roman"/>
          <w:sz w:val="32"/>
        </w:rPr>
        <w:t>高度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4.75</w:t>
      </w:r>
      <w:r>
        <w:rPr>
          <w:rFonts w:hint="default" w:ascii="Times New Roman" w:hAnsi="Times New Roman" w:eastAsia="仿宋_GB2312" w:cs="Times New Roman"/>
          <w:sz w:val="32"/>
        </w:rPr>
        <w:t xml:space="preserve">米，采用轻钢结构，建筑面积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341.89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新建1栋隔离舍，共一层，建筑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檐口</w:t>
      </w:r>
      <w:r>
        <w:rPr>
          <w:rFonts w:hint="default" w:ascii="Times New Roman" w:hAnsi="Times New Roman" w:eastAsia="仿宋_GB2312" w:cs="Times New Roman"/>
          <w:sz w:val="32"/>
        </w:rPr>
        <w:t>高度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4.75</w:t>
      </w:r>
      <w:r>
        <w:rPr>
          <w:rFonts w:hint="default" w:ascii="Times New Roman" w:hAnsi="Times New Roman" w:eastAsia="仿宋_GB2312" w:cs="Times New Roman"/>
          <w:sz w:val="32"/>
        </w:rPr>
        <w:t xml:space="preserve">米，采用轻钢结构，建筑面积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51.24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五、主要技术标准和工程方案：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地块一内建筑均采用南北朝向，地块二内建筑采用东西朝向，遵循因地制宜原则。楼梯间全部自然采光、通风；厂房采用大空间设计。建筑结构形式为门式刚架和钢筋砼框架结构，建筑基础形式为独基和桩基。屋顶采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厚挤塑聚苯乙烯泡沫塑料板保温屋面，采用具有良好热工性能的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190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厚烧结页岩多孔砖砌体墙。建筑分类等级为二级，结构设计工作年限为混凝土结构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年，钢结构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年，建筑抗震设防类别为丙类，地下水池防水等级为一级，地基基础设计等级为乙级，耐火等级为地上建筑为二级，地下水池为一级，抗震设防基本烈度为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总投资及资金来源：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Times New Roman" w:eastAsia="仿宋_GB2312" w:cs="Times New Roman"/>
          <w:kern w:val="2"/>
          <w:sz w:val="32"/>
          <w:szCs w:val="20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总建筑投资（静态）估算为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597.87</w:t>
      </w:r>
      <w:r>
        <w:rPr>
          <w:rFonts w:hint="eastAsia" w:ascii="仿宋_GB2312" w:hAnsi="仿宋_GB2312" w:eastAsia="仿宋_GB2312" w:cs="仿宋_GB2312"/>
          <w:sz w:val="32"/>
        </w:rPr>
        <w:t>万元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其中：工程费用491.33万元，建设工程其他费用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78.07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万元，基本预备费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28.47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万元。本项目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资金来源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：中央和自治区财政衔接推进乡村振兴补助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资金、地方财政配套资金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接文后，请严格按照基本建设程序开展施工图设计和其他开工前准备工作，严格控制项目建设标准、建设规模、概算等控制性指标，不得随意变更和突破。因国家政策调整、价格上涨、地质条件发生重大变化等原因确需增加投资概算的，项目单位应当提出调整方案及资金来源，按照规定的程序报原初步设计审批部门或者投资概算核定部门核定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斗江镇绿满园蛋鸡养殖场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投资概算汇总表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三江侗族自治县发展和改革局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baseline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Calibri" w:eastAsia="仿宋_GB2312" w:cs="Times New Roman"/>
          <w:sz w:val="32"/>
        </w:rPr>
      </w:pPr>
    </w:p>
    <w:p>
      <w:pPr>
        <w:pStyle w:val="12"/>
        <w:rPr>
          <w:rFonts w:hint="eastAsia" w:ascii="仿宋_GB2312" w:hAnsi="Calibri" w:eastAsia="仿宋_GB2312" w:cs="Times New Roman"/>
          <w:sz w:val="32"/>
        </w:rPr>
      </w:pPr>
    </w:p>
    <w:p>
      <w:pPr>
        <w:rPr>
          <w:rFonts w:hint="eastAsia" w:ascii="仿宋_GB2312" w:hAnsi="Calibri" w:eastAsia="仿宋_GB2312" w:cs="Times New Roman"/>
          <w:sz w:val="32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textAlignment w:val="baseline"/>
        <w:outlineLvl w:val="9"/>
        <w:rPr>
          <w:rFonts w:hint="eastAsia" w:ascii="仿宋_GB2312" w:hAnsi="Calibri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</w:rPr>
        <w:t xml:space="preserve">  </w:t>
      </w:r>
    </w:p>
    <w:p>
      <w:pPr>
        <w:widowControl/>
        <w:pBdr>
          <w:bottom w:val="single" w:color="auto" w:sz="4" w:space="0"/>
        </w:pBdr>
        <w:spacing w:line="600" w:lineRule="exact"/>
        <w:ind w:left="1400" w:hanging="1400" w:hangingChars="5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</w:rPr>
        <w:t>抄  送：</w:t>
      </w:r>
      <w:r>
        <w:rPr>
          <w:rFonts w:hint="eastAsia" w:ascii="仿宋_GB2312" w:hAnsi="Calibri" w:eastAsia="仿宋_GB2312" w:cs="Times New Roman"/>
          <w:sz w:val="28"/>
          <w:szCs w:val="28"/>
        </w:rPr>
        <w:t>县</w:t>
      </w:r>
      <w:r>
        <w:rPr>
          <w:rFonts w:hint="eastAsia" w:ascii="仿宋_GB2312" w:eastAsia="仿宋_GB2312"/>
          <w:sz w:val="28"/>
          <w:szCs w:val="28"/>
        </w:rPr>
        <w:t>财政局、</w:t>
      </w:r>
      <w:r>
        <w:rPr>
          <w:rFonts w:hint="eastAsia" w:ascii="仿宋_GB2312" w:hAnsi="Calibri" w:eastAsia="仿宋_GB2312" w:cs="Times New Roman"/>
          <w:sz w:val="28"/>
          <w:szCs w:val="28"/>
        </w:rPr>
        <w:t>自然资源和规划局、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住房和城乡建设局、柳州市三江生态环境局、</w:t>
      </w:r>
      <w:r>
        <w:rPr>
          <w:rFonts w:hint="eastAsia" w:ascii="仿宋_GB2312" w:hAnsi="Calibri" w:eastAsia="仿宋_GB2312" w:cs="Times New Roman"/>
          <w:sz w:val="28"/>
          <w:szCs w:val="28"/>
        </w:rPr>
        <w:t>存档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single" w:color="000000" w:sz="12" w:space="0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280" w:firstLineChars="10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 xml:space="preserve">三江侗族自治县发展和改革局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 xml:space="preserve"> </w:t>
      </w:r>
    </w:p>
    <w:p>
      <w:pPr>
        <w:widowControl/>
        <w:spacing w:line="600" w:lineRule="exact"/>
        <w:jc w:val="left"/>
        <w:textAlignment w:val="baseline"/>
        <w:rPr>
          <w:rFonts w:hint="eastAsia" w:ascii="仿宋_GB2312" w:eastAsia="仿宋_GB2312"/>
          <w:b/>
          <w:color w:val="00000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84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（共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印份）</w:t>
      </w:r>
    </w:p>
    <w:p>
      <w:pPr>
        <w:pStyle w:val="8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tbl>
      <w:tblPr>
        <w:tblStyle w:val="9"/>
        <w:tblW w:w="0" w:type="auto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047"/>
        <w:gridCol w:w="1257"/>
        <w:gridCol w:w="922"/>
        <w:gridCol w:w="951"/>
        <w:gridCol w:w="861"/>
        <w:gridCol w:w="1004"/>
        <w:gridCol w:w="1090"/>
        <w:gridCol w:w="1860"/>
        <w:gridCol w:w="1068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7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概 算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54" w:type="dxa"/>
            <w:gridSpan w:val="7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项目名称: 斗江镇绿满园蛋鸡养殖场建设项目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4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估算造价（万元）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各项费用所占比例%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工程费用合计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381.75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491.33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82.20%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22.79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154.34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1,329.56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131.55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22.79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22.79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75.65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533.00 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63.85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料房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42.95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50.23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341.89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42.95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42.95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储粪棚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31.57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34.08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207.37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31.57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31.57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12.59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13.71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12.59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12.59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设备采购及安装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35.11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附属设施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99.23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10.47 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室外场地及道路硬化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47.65 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围墙及大门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消毒池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化尸池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总平给排水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23.53 </w:t>
            </w: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总平配电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竣工标志牌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说明及计算式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13.04%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31.66 </w:t>
            </w:r>
          </w:p>
        </w:tc>
        <w:tc>
          <w:tcPr>
            <w:tcW w:w="100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9.34 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工程费用*2%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桂建标[2018]37 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财建[2016]504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施工图设计文件审查费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2.1+2.2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桂建发[2019] 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建设审查费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工程费用×2‰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消防审查费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建筑面积2526.06平米*0.6元/平米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绿色建筑施工图设计文件审查费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基本级暂不计取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桂建发[2019] 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工程招标代理服务费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100*6.3</w:t>
            </w:r>
            <w:r>
              <w:rPr>
                <w:rStyle w:val="30"/>
                <w:rFonts w:eastAsia="宋体"/>
                <w:lang w:val="en-US" w:eastAsia="zh-CN" w:bidi="ar"/>
              </w:rPr>
              <w:t>‰</w:t>
            </w:r>
            <w:r>
              <w:rPr>
                <w:rStyle w:val="29"/>
                <w:lang w:val="en-US" w:eastAsia="zh-CN" w:bidi="ar"/>
              </w:rPr>
              <w:t xml:space="preserve"> +（工程费-设备费-100）*4.41‰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设备招标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不超过300万元，不公开招标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桂财采[2021]61号文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监理招标代理服务费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不超过300万元，不公开招标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桂财采[2021]61号文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工程设计招标代理服务费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不超过300万元，不公开招标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桂财采[2021]61号文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勘察招标代理服务费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不超过300万元，不公开招标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桂财采[2021]61号文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工程实施阶段造价咨询费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4.1+4.2+4.3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桂价协字[2019]15号文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招标控制价编制费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（工程费用-设备费）*0.39%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施工过程的造价控制咨询费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（工程费用-设备费）*0.52%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工程结算审核费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（工程费用-设备费）*0.54%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(13.2/500）*（工程费-设备费）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桂建标[2018]37号第8页表五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二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无征地费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三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取费基数为可研批复总额623.02万元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1+2+3+4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桂建标[2018]37号第12页表一，计费基数依据，详见注1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项目建议书编制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（1.2</w:t>
            </w:r>
            <w:r>
              <w:rPr>
                <w:rStyle w:val="32"/>
                <w:rFonts w:eastAsia="宋体"/>
                <w:lang w:val="en-US" w:eastAsia="zh-CN" w:bidi="ar"/>
              </w:rPr>
              <w:t>+</w:t>
            </w:r>
            <w:r>
              <w:rPr>
                <w:rStyle w:val="29"/>
                <w:lang w:val="en-US" w:eastAsia="zh-CN" w:bidi="ar"/>
              </w:rPr>
              <w:t>（2-1.2）/（1000</w:t>
            </w:r>
            <w:r>
              <w:rPr>
                <w:rStyle w:val="32"/>
                <w:rFonts w:eastAsia="宋体"/>
                <w:lang w:val="en-US" w:eastAsia="zh-CN" w:bidi="ar"/>
              </w:rPr>
              <w:t>-500</w:t>
            </w:r>
            <w:r>
              <w:rPr>
                <w:rStyle w:val="29"/>
                <w:lang w:val="en-US" w:eastAsia="zh-CN" w:bidi="ar"/>
              </w:rPr>
              <w:t>）*（可研总投资用-</w:t>
            </w:r>
            <w:r>
              <w:rPr>
                <w:rStyle w:val="32"/>
                <w:rFonts w:eastAsia="宋体"/>
                <w:lang w:val="en-US" w:eastAsia="zh-CN" w:bidi="ar"/>
              </w:rPr>
              <w:t>500</w:t>
            </w:r>
            <w:r>
              <w:rPr>
                <w:rStyle w:val="29"/>
                <w:lang w:val="en-US" w:eastAsia="zh-CN" w:bidi="ar"/>
              </w:rPr>
              <w:t>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（3.2</w:t>
            </w:r>
            <w:r>
              <w:rPr>
                <w:rStyle w:val="32"/>
                <w:rFonts w:eastAsia="宋体"/>
                <w:lang w:val="en-US" w:eastAsia="zh-CN" w:bidi="ar"/>
              </w:rPr>
              <w:t>+</w:t>
            </w:r>
            <w:r>
              <w:rPr>
                <w:rStyle w:val="29"/>
                <w:lang w:val="en-US" w:eastAsia="zh-CN" w:bidi="ar"/>
              </w:rPr>
              <w:t>（4.8-3.2）/（10</w:t>
            </w:r>
            <w:r>
              <w:rPr>
                <w:rStyle w:val="32"/>
                <w:rFonts w:eastAsia="宋体"/>
                <w:lang w:val="en-US" w:eastAsia="zh-CN" w:bidi="ar"/>
              </w:rPr>
              <w:t>00-5</w:t>
            </w:r>
            <w:r>
              <w:rPr>
                <w:rStyle w:val="29"/>
                <w:lang w:val="en-US" w:eastAsia="zh-CN" w:bidi="ar"/>
              </w:rPr>
              <w:t>00）*（可研总投资额-500）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可行性研究报告评估费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（1.2</w:t>
            </w:r>
            <w:r>
              <w:rPr>
                <w:rStyle w:val="32"/>
                <w:rFonts w:eastAsia="宋体"/>
                <w:lang w:val="en-US" w:eastAsia="zh-CN" w:bidi="ar"/>
              </w:rPr>
              <w:t>+</w:t>
            </w:r>
            <w:r>
              <w:rPr>
                <w:rStyle w:val="29"/>
                <w:lang w:val="en-US" w:eastAsia="zh-CN" w:bidi="ar"/>
              </w:rPr>
              <w:t>（2-1.2）/（1000</w:t>
            </w:r>
            <w:r>
              <w:rPr>
                <w:rStyle w:val="32"/>
                <w:rFonts w:eastAsia="宋体"/>
                <w:lang w:val="en-US" w:eastAsia="zh-CN" w:bidi="ar"/>
              </w:rPr>
              <w:t>-500</w:t>
            </w:r>
            <w:r>
              <w:rPr>
                <w:rStyle w:val="29"/>
                <w:lang w:val="en-US" w:eastAsia="zh-CN" w:bidi="ar"/>
              </w:rPr>
              <w:t>）*（可研总投资额-500）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初步设计文件评估咨询费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（1.2</w:t>
            </w:r>
            <w:r>
              <w:rPr>
                <w:rStyle w:val="32"/>
                <w:rFonts w:eastAsia="宋体"/>
                <w:lang w:val="en-US" w:eastAsia="zh-CN" w:bidi="ar"/>
              </w:rPr>
              <w:t>+</w:t>
            </w:r>
            <w:r>
              <w:rPr>
                <w:rStyle w:val="29"/>
                <w:lang w:val="en-US" w:eastAsia="zh-CN" w:bidi="ar"/>
              </w:rPr>
              <w:t>（2-1.2）/（1000</w:t>
            </w:r>
            <w:r>
              <w:rPr>
                <w:rStyle w:val="32"/>
                <w:rFonts w:eastAsia="宋体"/>
                <w:lang w:val="en-US" w:eastAsia="zh-CN" w:bidi="ar"/>
              </w:rPr>
              <w:t>-500</w:t>
            </w:r>
            <w:r>
              <w:rPr>
                <w:rStyle w:val="29"/>
                <w:lang w:val="en-US" w:eastAsia="zh-CN" w:bidi="ar"/>
              </w:rPr>
              <w:t>）*（可研总投资额-500）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四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31.96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1+2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10.75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1.1+1.2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桂建标[2018]37号第14页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初步勘察及详细劫察费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（建筑工程费-设备费）*（0.3%~0.5%，取0.5%）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施工勘察费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（建筑工程费-设备费）*（1.2%~1.8%，取1.8%）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2.1+2.2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基本设计费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21.21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8.1+(18.81-8.1）/(500-200)×(工程费-设备费-100))×专业调整系数1.0×工程复杂系数1.0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施工图预算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详见桂建标[2018]38号文第14页（1）备注，不计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其他设计费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五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1"/>
                <w:lang w:val="en-US" w:eastAsia="zh-CN" w:bidi="ar"/>
              </w:rPr>
              <w:t>环境影响咨询费</w:t>
            </w: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报告书）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不纳入环评管理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六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场地准备费及临时设施费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（工程费-设备费）×0.5%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桂建标[2018]37号第18页，计算方式备注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七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（工程费-设备费）×0.3%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八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城镇基础设施配套费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九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电梯检验检测费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桂价费〔2007〕301号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桂价费〔2010〕95号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eastAsia="宋体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十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工程检验试验费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（工程费-设备费）×0.6%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1"/>
                <w:lang w:val="en-US" w:eastAsia="zh-CN" w:bidi="ar"/>
              </w:rPr>
              <w:t>（十一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高可靠性供电费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桂价费字〔2004〕70号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桂政发〔2016〕20号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1"/>
                <w:lang w:val="en-US" w:eastAsia="zh-CN" w:bidi="ar"/>
              </w:rPr>
              <w:t>（十二</w:t>
            </w:r>
            <w:r>
              <w:rPr>
                <w:rStyle w:val="2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根据拟建工程实际及市场情况计算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防空地下易地建设费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桂设协[2020]92号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地质灾害危险性评价费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水土保持设施补偿费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28.46 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4.76%</w:t>
            </w:r>
          </w:p>
        </w:tc>
        <w:tc>
          <w:tcPr>
            <w:tcW w:w="2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桂建标[2018]37号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28.46 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（工程费+工程其他费）*5%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涨价预备费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建设投资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597.74 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工程费+工程其他费+预备费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建设期贷款利息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597.74 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</w:p>
    <w:sectPr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15287"/>
    <w:multiLevelType w:val="singleLevel"/>
    <w:tmpl w:val="F9D152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zYxMzFkYzgzMTdhZWNjOGFjYTU0ZDE5OGZkMjcifQ=="/>
  </w:docVars>
  <w:rsids>
    <w:rsidRoot w:val="00172A27"/>
    <w:rsid w:val="00005376"/>
    <w:rsid w:val="000140FB"/>
    <w:rsid w:val="000D3B98"/>
    <w:rsid w:val="001E765B"/>
    <w:rsid w:val="002633F5"/>
    <w:rsid w:val="003B649B"/>
    <w:rsid w:val="00491C3F"/>
    <w:rsid w:val="00720744"/>
    <w:rsid w:val="007435CC"/>
    <w:rsid w:val="00947E9A"/>
    <w:rsid w:val="00AB2D24"/>
    <w:rsid w:val="00C03E20"/>
    <w:rsid w:val="00CE153F"/>
    <w:rsid w:val="00D95633"/>
    <w:rsid w:val="01473862"/>
    <w:rsid w:val="017048CE"/>
    <w:rsid w:val="019D7E34"/>
    <w:rsid w:val="01B065BA"/>
    <w:rsid w:val="01D27235"/>
    <w:rsid w:val="02593ECD"/>
    <w:rsid w:val="02867A62"/>
    <w:rsid w:val="029762CA"/>
    <w:rsid w:val="032C14F8"/>
    <w:rsid w:val="0352712B"/>
    <w:rsid w:val="043946F6"/>
    <w:rsid w:val="043E7102"/>
    <w:rsid w:val="07D07B1E"/>
    <w:rsid w:val="081E5BA9"/>
    <w:rsid w:val="08BD5376"/>
    <w:rsid w:val="08C22287"/>
    <w:rsid w:val="0A3B3952"/>
    <w:rsid w:val="0A6F660B"/>
    <w:rsid w:val="0E3E0F1E"/>
    <w:rsid w:val="0F0266E8"/>
    <w:rsid w:val="0F0A5188"/>
    <w:rsid w:val="0F63262D"/>
    <w:rsid w:val="0F6C0CB5"/>
    <w:rsid w:val="0F82363A"/>
    <w:rsid w:val="0FF4778C"/>
    <w:rsid w:val="10551F3F"/>
    <w:rsid w:val="11356EF3"/>
    <w:rsid w:val="12B601D6"/>
    <w:rsid w:val="12D34043"/>
    <w:rsid w:val="130B1D07"/>
    <w:rsid w:val="133D0D7E"/>
    <w:rsid w:val="134200E8"/>
    <w:rsid w:val="13B31151"/>
    <w:rsid w:val="156F721A"/>
    <w:rsid w:val="1638452A"/>
    <w:rsid w:val="16877D63"/>
    <w:rsid w:val="16AA6664"/>
    <w:rsid w:val="16AE51E4"/>
    <w:rsid w:val="16BB713A"/>
    <w:rsid w:val="16BD71BC"/>
    <w:rsid w:val="16E657FD"/>
    <w:rsid w:val="170922F1"/>
    <w:rsid w:val="178075D9"/>
    <w:rsid w:val="18C51B2C"/>
    <w:rsid w:val="18E8095B"/>
    <w:rsid w:val="19103AFF"/>
    <w:rsid w:val="1A5A6CBF"/>
    <w:rsid w:val="1B7F4EF3"/>
    <w:rsid w:val="1CC12C29"/>
    <w:rsid w:val="1CE353B0"/>
    <w:rsid w:val="1D240CFD"/>
    <w:rsid w:val="1D9C4564"/>
    <w:rsid w:val="1DD01FE8"/>
    <w:rsid w:val="1DEB10E9"/>
    <w:rsid w:val="1E557E1C"/>
    <w:rsid w:val="1F432FB0"/>
    <w:rsid w:val="1F8867CD"/>
    <w:rsid w:val="20637832"/>
    <w:rsid w:val="208C3FBB"/>
    <w:rsid w:val="20EA4C36"/>
    <w:rsid w:val="21336889"/>
    <w:rsid w:val="216B29E8"/>
    <w:rsid w:val="21AC5AE7"/>
    <w:rsid w:val="21E8795C"/>
    <w:rsid w:val="252512E3"/>
    <w:rsid w:val="26FE3E53"/>
    <w:rsid w:val="274F69B1"/>
    <w:rsid w:val="291440B1"/>
    <w:rsid w:val="2A680259"/>
    <w:rsid w:val="2BC17A5E"/>
    <w:rsid w:val="2BF202D9"/>
    <w:rsid w:val="2C0B7CB5"/>
    <w:rsid w:val="2C2220D9"/>
    <w:rsid w:val="2D34345D"/>
    <w:rsid w:val="2DEE3D58"/>
    <w:rsid w:val="2DF3169B"/>
    <w:rsid w:val="2F1A6610"/>
    <w:rsid w:val="2F3D5F79"/>
    <w:rsid w:val="2F484E84"/>
    <w:rsid w:val="302C6BA1"/>
    <w:rsid w:val="30545A47"/>
    <w:rsid w:val="31590F6F"/>
    <w:rsid w:val="316F4822"/>
    <w:rsid w:val="319D38D5"/>
    <w:rsid w:val="31BA1FD9"/>
    <w:rsid w:val="32635AAE"/>
    <w:rsid w:val="33736BAC"/>
    <w:rsid w:val="33B34D97"/>
    <w:rsid w:val="33C8181B"/>
    <w:rsid w:val="33FC1920"/>
    <w:rsid w:val="3533156D"/>
    <w:rsid w:val="35A17EA7"/>
    <w:rsid w:val="361A3DFF"/>
    <w:rsid w:val="36323CD4"/>
    <w:rsid w:val="391632C2"/>
    <w:rsid w:val="39AA162A"/>
    <w:rsid w:val="39B26D8F"/>
    <w:rsid w:val="39B5249E"/>
    <w:rsid w:val="3AB161BF"/>
    <w:rsid w:val="3AC072EB"/>
    <w:rsid w:val="3AD00990"/>
    <w:rsid w:val="3B2D2F4F"/>
    <w:rsid w:val="3B4637FD"/>
    <w:rsid w:val="3CBC1EB2"/>
    <w:rsid w:val="3D404D15"/>
    <w:rsid w:val="3D5410FA"/>
    <w:rsid w:val="3DD95F3F"/>
    <w:rsid w:val="3EA45547"/>
    <w:rsid w:val="3EDF3998"/>
    <w:rsid w:val="3EFC4D0C"/>
    <w:rsid w:val="41883525"/>
    <w:rsid w:val="41937ED2"/>
    <w:rsid w:val="41AB1ABC"/>
    <w:rsid w:val="421C6124"/>
    <w:rsid w:val="42B11578"/>
    <w:rsid w:val="43BE4348"/>
    <w:rsid w:val="44142C02"/>
    <w:rsid w:val="44F77A3C"/>
    <w:rsid w:val="45727E7A"/>
    <w:rsid w:val="468F3B3C"/>
    <w:rsid w:val="47816A8E"/>
    <w:rsid w:val="481203CA"/>
    <w:rsid w:val="48776413"/>
    <w:rsid w:val="49F85EAD"/>
    <w:rsid w:val="4A9E70EE"/>
    <w:rsid w:val="4AD8784F"/>
    <w:rsid w:val="4B051C8E"/>
    <w:rsid w:val="4B0A6E5A"/>
    <w:rsid w:val="4D0005C3"/>
    <w:rsid w:val="4DE4464F"/>
    <w:rsid w:val="4EB1239C"/>
    <w:rsid w:val="4F3A447F"/>
    <w:rsid w:val="4F4E12B3"/>
    <w:rsid w:val="4F8F6AE5"/>
    <w:rsid w:val="50450343"/>
    <w:rsid w:val="51316049"/>
    <w:rsid w:val="513B318D"/>
    <w:rsid w:val="522A172C"/>
    <w:rsid w:val="525C0695"/>
    <w:rsid w:val="53BE1B48"/>
    <w:rsid w:val="54D70544"/>
    <w:rsid w:val="54EF125B"/>
    <w:rsid w:val="55B845C8"/>
    <w:rsid w:val="56E0489A"/>
    <w:rsid w:val="572A2ADA"/>
    <w:rsid w:val="57416D55"/>
    <w:rsid w:val="575A00DA"/>
    <w:rsid w:val="57CF5C30"/>
    <w:rsid w:val="590A25A3"/>
    <w:rsid w:val="59F51256"/>
    <w:rsid w:val="5AAA07CF"/>
    <w:rsid w:val="5B3801EE"/>
    <w:rsid w:val="5CEE6C70"/>
    <w:rsid w:val="5D2F1C45"/>
    <w:rsid w:val="5D396201"/>
    <w:rsid w:val="5DFD716B"/>
    <w:rsid w:val="5FE2569F"/>
    <w:rsid w:val="5FFF2ECD"/>
    <w:rsid w:val="60930AB6"/>
    <w:rsid w:val="60CA3BC3"/>
    <w:rsid w:val="60E96A5C"/>
    <w:rsid w:val="61C74C00"/>
    <w:rsid w:val="626540F2"/>
    <w:rsid w:val="63640A32"/>
    <w:rsid w:val="63A83496"/>
    <w:rsid w:val="63E277AA"/>
    <w:rsid w:val="63F52C4F"/>
    <w:rsid w:val="64565AEC"/>
    <w:rsid w:val="645E3243"/>
    <w:rsid w:val="646239AF"/>
    <w:rsid w:val="664C11B2"/>
    <w:rsid w:val="665948EE"/>
    <w:rsid w:val="667A1959"/>
    <w:rsid w:val="678A3044"/>
    <w:rsid w:val="685F0ABA"/>
    <w:rsid w:val="686367F4"/>
    <w:rsid w:val="6B010388"/>
    <w:rsid w:val="6B30277C"/>
    <w:rsid w:val="6C191A78"/>
    <w:rsid w:val="6C304265"/>
    <w:rsid w:val="6C562949"/>
    <w:rsid w:val="6DE62C1E"/>
    <w:rsid w:val="6E7C0351"/>
    <w:rsid w:val="6E9A5A75"/>
    <w:rsid w:val="6EF15783"/>
    <w:rsid w:val="6EF220B9"/>
    <w:rsid w:val="6F7B6738"/>
    <w:rsid w:val="709D52CF"/>
    <w:rsid w:val="71D41097"/>
    <w:rsid w:val="71DD4B71"/>
    <w:rsid w:val="727A75DD"/>
    <w:rsid w:val="73145C77"/>
    <w:rsid w:val="73C35025"/>
    <w:rsid w:val="7673611B"/>
    <w:rsid w:val="76AC02FB"/>
    <w:rsid w:val="76E83409"/>
    <w:rsid w:val="770A0DC0"/>
    <w:rsid w:val="788271DA"/>
    <w:rsid w:val="78A472B9"/>
    <w:rsid w:val="7A13192C"/>
    <w:rsid w:val="7B163572"/>
    <w:rsid w:val="7B4A62B0"/>
    <w:rsid w:val="7BE643B9"/>
    <w:rsid w:val="7BF43A32"/>
    <w:rsid w:val="7C631FC4"/>
    <w:rsid w:val="7D1379BF"/>
    <w:rsid w:val="7D602F8B"/>
    <w:rsid w:val="7DFE6501"/>
    <w:rsid w:val="7E641FC5"/>
    <w:rsid w:val="7F106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styleId="3">
    <w:name w:val="Body Text Indent"/>
    <w:basedOn w:val="1"/>
    <w:link w:val="16"/>
    <w:qFormat/>
    <w:uiPriority w:val="0"/>
    <w:pPr>
      <w:spacing w:line="360" w:lineRule="exact"/>
      <w:ind w:firstLine="658" w:firstLineChars="235"/>
    </w:pPr>
    <w:rPr>
      <w:rFonts w:ascii="仿宋_GB2312" w:hAnsi="Times New Roman" w:eastAsia="仿宋_GB2312" w:cs="Times New Roman"/>
      <w:sz w:val="28"/>
      <w:szCs w:val="2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1"/>
    <w:qFormat/>
    <w:uiPriority w:val="0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3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11"/>
    <w:link w:val="2"/>
    <w:qFormat/>
    <w:uiPriority w:val="0"/>
    <w:rPr>
      <w:kern w:val="2"/>
      <w:sz w:val="44"/>
    </w:rPr>
  </w:style>
  <w:style w:type="character" w:customStyle="1" w:styleId="16">
    <w:name w:val="正文文本缩进 Char"/>
    <w:basedOn w:val="11"/>
    <w:link w:val="3"/>
    <w:qFormat/>
    <w:uiPriority w:val="0"/>
    <w:rPr>
      <w:rFonts w:ascii="仿宋_GB2312" w:eastAsia="仿宋_GB2312"/>
      <w:kern w:val="2"/>
      <w:sz w:val="28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41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</w:rPr>
  </w:style>
  <w:style w:type="character" w:customStyle="1" w:styleId="22">
    <w:name w:val="font31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  <w:vertAlign w:val="superscript"/>
    </w:rPr>
  </w:style>
  <w:style w:type="character" w:customStyle="1" w:styleId="23">
    <w:name w:val="font91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</w:rPr>
  </w:style>
  <w:style w:type="character" w:customStyle="1" w:styleId="24">
    <w:name w:val="font112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  <w:vertAlign w:val="superscript"/>
    </w:rPr>
  </w:style>
  <w:style w:type="character" w:customStyle="1" w:styleId="25">
    <w:name w:val="font131"/>
    <w:basedOn w:val="11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6">
    <w:name w:val="font12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7">
    <w:name w:val="font1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perscript"/>
    </w:rPr>
  </w:style>
  <w:style w:type="character" w:customStyle="1" w:styleId="2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2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181"/>
    <w:basedOn w:val="11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1">
    <w:name w:val="font1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19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982</Words>
  <Characters>1116</Characters>
  <Lines>1</Lines>
  <Paragraphs>1</Paragraphs>
  <TotalTime>2</TotalTime>
  <ScaleCrop>false</ScaleCrop>
  <LinksUpToDate>false</LinksUpToDate>
  <CharactersWithSpaces>1379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2020-03-26T02:10:00Z</dcterms:created>
  <dc:creator>Administrator</dc:creator>
  <cp:lastModifiedBy>Administrator</cp:lastModifiedBy>
  <cp:lastPrinted>2025-09-28T09:01:33Z</cp:lastPrinted>
  <dcterms:modified xsi:type="dcterms:W3CDTF">2025-09-28T09:01:49Z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EED7BF995FDE467E811861A240E4C8D7</vt:lpwstr>
  </property>
  <property fmtid="{D5CDD505-2E9C-101B-9397-08002B2CF9AE}" pid="4" name="KSOTemplateDocerSaveRecord">
    <vt:lpwstr>eyJoZGlkIjoiYzE4NzYxMzFkYzgzMTdhZWNjOGFjYTU0ZDE5OGZkMjciLCJ1c2VySWQiOiIzMDQ2MzI0ODgifQ==</vt:lpwstr>
  </property>
</Properties>
</file>