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DE" w:rsidRPr="00330AC4" w:rsidRDefault="00717250">
      <w:pPr>
        <w:jc w:val="center"/>
        <w:rPr>
          <w:rFonts w:ascii="黑体" w:eastAsia="黑体" w:hAnsi="黑体"/>
          <w:spacing w:val="-20"/>
          <w:sz w:val="32"/>
          <w:szCs w:val="32"/>
        </w:rPr>
      </w:pPr>
      <w:r w:rsidRPr="00330AC4">
        <w:rPr>
          <w:rFonts w:ascii="黑体" w:eastAsia="黑体" w:hAnsi="黑体" w:hint="eastAsia"/>
          <w:spacing w:val="-20"/>
          <w:sz w:val="32"/>
          <w:szCs w:val="32"/>
        </w:rPr>
        <w:t>2019年</w:t>
      </w:r>
      <w:r w:rsidR="0089084C" w:rsidRPr="00330AC4">
        <w:rPr>
          <w:rFonts w:ascii="黑体" w:eastAsia="黑体" w:hAnsi="黑体" w:cs="黑体" w:hint="eastAsia"/>
          <w:spacing w:val="-20"/>
          <w:sz w:val="32"/>
          <w:szCs w:val="32"/>
        </w:rPr>
        <w:t>三江县城市管理行政执法专项经费</w:t>
      </w:r>
      <w:r w:rsidRPr="00330AC4">
        <w:rPr>
          <w:rFonts w:ascii="黑体" w:eastAsia="黑体" w:hAnsi="黑体" w:hint="eastAsia"/>
          <w:spacing w:val="-20"/>
          <w:sz w:val="32"/>
          <w:szCs w:val="32"/>
        </w:rPr>
        <w:t>项目支出绩效再评价结果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804"/>
      </w:tblGrid>
      <w:tr w:rsidR="007A0DDE" w:rsidRPr="00330AC4" w:rsidTr="00330AC4">
        <w:trPr>
          <w:trHeight w:val="4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7A0DDE" w:rsidRPr="00330AC4" w:rsidRDefault="0089084C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黑体" w:hint="eastAsia"/>
                <w:sz w:val="24"/>
                <w:szCs w:val="24"/>
              </w:rPr>
              <w:t>城市管理行政执法专项经费</w:t>
            </w:r>
          </w:p>
        </w:tc>
      </w:tr>
      <w:tr w:rsidR="007A0DDE" w:rsidRPr="00330AC4" w:rsidTr="00330AC4">
        <w:trPr>
          <w:trHeight w:val="4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7A0DDE" w:rsidRPr="00330AC4" w:rsidRDefault="0089084C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  <w:r w:rsidR="00330AC4"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7A0DDE" w:rsidRPr="00330AC4" w:rsidTr="00330AC4">
        <w:trPr>
          <w:trHeight w:val="4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7A0DDE" w:rsidRPr="00330AC4" w:rsidRDefault="007A0DDE" w:rsidP="00330AC4">
            <w:pPr>
              <w:spacing w:line="440" w:lineRule="exact"/>
              <w:jc w:val="left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  <w:tr w:rsidR="00717250" w:rsidRPr="00330AC4" w:rsidTr="00330AC4">
        <w:trPr>
          <w:trHeight w:val="454"/>
        </w:trPr>
        <w:tc>
          <w:tcPr>
            <w:tcW w:w="2142" w:type="dxa"/>
            <w:shd w:val="clear" w:color="auto" w:fill="auto"/>
            <w:noWrap/>
            <w:vAlign w:val="center"/>
          </w:tcPr>
          <w:p w:rsidR="00717250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717250" w:rsidRPr="00330AC4" w:rsidRDefault="0089084C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黑体" w:hint="eastAsia"/>
                <w:sz w:val="24"/>
                <w:szCs w:val="24"/>
              </w:rPr>
              <w:t>三江县城市管理行政执法局</w:t>
            </w:r>
          </w:p>
        </w:tc>
      </w:tr>
      <w:tr w:rsidR="007A0DDE" w:rsidRPr="00330AC4" w:rsidTr="00330AC4">
        <w:trPr>
          <w:trHeight w:val="4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7A0DDE" w:rsidRPr="00330AC4" w:rsidRDefault="00330AC4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得分</w:t>
            </w:r>
            <w:r w:rsidR="0089084C"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80.88</w:t>
            </w: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  绩效</w:t>
            </w:r>
            <w:r w:rsidRPr="00330AC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等级</w:t>
            </w: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330AC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 w:rsidR="007A0DDE" w:rsidRPr="00330AC4" w:rsidTr="00330AC4">
        <w:trPr>
          <w:trHeight w:val="4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330AC4" w:rsidRPr="00330AC4" w:rsidRDefault="00330AC4" w:rsidP="00330AC4">
            <w:pPr>
              <w:spacing w:line="440" w:lineRule="exact"/>
              <w:ind w:firstLine="6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江县城开展</w:t>
            </w: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治理“两违”建筑、违法户外广告，且发生率逐年下降，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不断加大管理力度，城区违法建设总量大幅下降，城区建设秩序明显好转，</w:t>
            </w: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维护县城市容市貌干净、整洁。</w:t>
            </w: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项目虽已达到绩效目标，项目实施成效明显，但通过对整个项目的效果评价发现，项目在实施过程中仍然存在一些问题，主要有：制度不够完善，部分项目资金支出不够规范，如拆除“两违”</w:t>
            </w:r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项目资金超预算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，</w:t>
            </w:r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对财政资金、政府采购等政策不熟悉</w:t>
            </w:r>
            <w:r w:rsidRPr="00330AC4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，</w:t>
            </w: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采购金额不按预算审批，没按预算执行，也未按规定办理相关调整手续，</w:t>
            </w:r>
            <w:r w:rsidRPr="00330AC4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对绩效工作不够重视等。</w:t>
            </w:r>
          </w:p>
          <w:p w:rsidR="007A0DDE" w:rsidRPr="00330AC4" w:rsidRDefault="00330AC4" w:rsidP="00330AC4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议三江县城市管理行政执法局尽快完善有关制度，细化资金管理办法，制定相关配套细则和措施，保证项目实施的科学性、规范性和公正性，提高财政资金的使用效益；强化政府采购管理工作，进一步加强监督检查；加强会计基础工作规范；提高对预算绩效管理的认识，按照“部门职责</w:t>
            </w:r>
            <w:r w:rsidRPr="00330AC4">
              <w:rPr>
                <w:rFonts w:asciiTheme="minorEastAsia" w:hAnsiTheme="minorEastAsia" w:cs="宋体"/>
                <w:kern w:val="0"/>
                <w:sz w:val="24"/>
                <w:szCs w:val="24"/>
              </w:rPr>
              <w:t>—</w:t>
            </w: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工作活动</w:t>
            </w:r>
            <w:r w:rsidRPr="00330AC4">
              <w:rPr>
                <w:rFonts w:asciiTheme="minorEastAsia" w:hAnsiTheme="minorEastAsia" w:cs="宋体"/>
                <w:kern w:val="0"/>
                <w:sz w:val="24"/>
                <w:szCs w:val="24"/>
              </w:rPr>
              <w:t>—</w:t>
            </w: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预算项目”预算绩效管理改革架构，加强本部门项目管理，合理使用县城拆除“两违”经费项目预算安排的科学性、规范性，形成部门职责引领预算安排的支出导向。</w:t>
            </w:r>
          </w:p>
        </w:tc>
      </w:tr>
      <w:tr w:rsidR="007A0DDE" w:rsidRPr="00330AC4" w:rsidTr="00330AC4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B15CF" w:rsidRPr="00330AC4" w:rsidRDefault="002B15CF" w:rsidP="00330AC4">
            <w:pPr>
              <w:spacing w:line="44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330AC4"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项目绩效：</w:t>
            </w:r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2019年取缔擅自摆摊设点乱摆乱卖、</w:t>
            </w:r>
            <w:proofErr w:type="gramStart"/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跨槛跨门窗</w:t>
            </w:r>
            <w:proofErr w:type="gramEnd"/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经营共488起、清理乱堆乱放361处、强制拆除乱搭乱建、乱拉乱挂99处，效果较为显著，占道经营现象明显减少，有效提升市容市貌。取缔乱贴乱挂横幅标语681张、清除地</w:t>
            </w:r>
            <w:proofErr w:type="gramStart"/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贴违法</w:t>
            </w:r>
            <w:proofErr w:type="gramEnd"/>
            <w:r w:rsidRPr="00330AC4">
              <w:rPr>
                <w:rFonts w:asciiTheme="minorEastAsia" w:hAnsiTheme="minorEastAsia" w:hint="eastAsia"/>
                <w:sz w:val="24"/>
                <w:szCs w:val="24"/>
              </w:rPr>
              <w:t>广告79张，拆除违章大型户外广告385块，清理城市“牛皮癣”301处，清理竖式小广告472个。有效提升县城旅游形象，整洁美化县城大街小巷，力争通过持续、不间断整治，逐步根除“城市牛皮癣”顽疾、做到各类违章广告及“城市牛皮癣”零增长。</w:t>
            </w:r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查处机动车道在人行道乱停乱放1595车次、摩托车102车次，劝导各类违章机动车辆有序停放2130人次、联合交警清除僵尸车21辆、设点</w:t>
            </w:r>
            <w:proofErr w:type="gramStart"/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查处市容</w:t>
            </w:r>
            <w:proofErr w:type="gramEnd"/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类违法行为共44起，有损市容的其它行为12起（车身、车轮不净）；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2019年三江县共拆除“两违”建筑318处，面积100491.28平方米，其中，强拆158处，面积58041.14平方米，自拆160处，面积42450.14</w:t>
            </w:r>
            <w:bookmarkStart w:id="1" w:name="_Toc535965950"/>
            <w:bookmarkStart w:id="2" w:name="_Toc535966236"/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平方米。</w:t>
            </w:r>
          </w:p>
          <w:p w:rsidR="007A0DDE" w:rsidRPr="00330AC4" w:rsidRDefault="001925B5" w:rsidP="00330AC4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  <w:r w:rsidR="002B15CF"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.</w:t>
            </w:r>
            <w:r w:rsidR="002B15CF"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资金使用</w:t>
            </w:r>
            <w:r w:rsidR="00330AC4"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2B15CF"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2019年财政</w:t>
            </w:r>
            <w:r w:rsidR="002B15CF"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项目支出预算安排</w:t>
            </w:r>
            <w:r w:rsidR="002B15CF"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城市管理行政执法专项经费200万元</w:t>
            </w:r>
            <w:r w:rsidR="002B15CF"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="002B15CF" w:rsidRPr="00330AC4">
              <w:rPr>
                <w:rFonts w:asciiTheme="minorEastAsia" w:hAnsiTheme="minorEastAsia" w:cs="宋体" w:hint="eastAsia"/>
                <w:sz w:val="24"/>
                <w:szCs w:val="24"/>
              </w:rPr>
              <w:t>资金实际到位200万元，</w:t>
            </w:r>
            <w:r w:rsidR="002B15CF"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支出进度100%。</w:t>
            </w:r>
            <w:bookmarkEnd w:id="1"/>
            <w:bookmarkEnd w:id="2"/>
          </w:p>
        </w:tc>
      </w:tr>
      <w:tr w:rsidR="007A0DDE" w:rsidRPr="00330AC4" w:rsidTr="00330AC4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经验及做法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89084C" w:rsidRPr="00330AC4" w:rsidRDefault="0089084C" w:rsidP="00330AC4">
            <w:pPr>
              <w:spacing w:line="440" w:lineRule="exact"/>
              <w:ind w:firstLineChars="150" w:firstLine="36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1.加强组织管理。加强组织领导，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按照县委、县政府统一部署，开展</w:t>
            </w:r>
            <w:r w:rsidRPr="00330AC4">
              <w:rPr>
                <w:rFonts w:asciiTheme="minorEastAsia" w:hAnsiTheme="minorEastAsia" w:cs="仿宋_GB2312" w:hint="eastAsia"/>
                <w:spacing w:val="8"/>
                <w:sz w:val="24"/>
                <w:szCs w:val="24"/>
              </w:rPr>
              <w:t>三江县拆除“两违”行动，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不断加大管理力度，城区违法建设总量大幅下降，城区建设秩序明显好转。</w:t>
            </w:r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加强联合执法，严禁乱停乱放、加强交通秩序管理，稳步推进扬尘治理工作。</w:t>
            </w:r>
          </w:p>
          <w:p w:rsidR="0089084C" w:rsidRPr="00330AC4" w:rsidRDefault="0089084C" w:rsidP="00330AC4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2.加强环境整治。善抓亮点，</w:t>
            </w:r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为第二届旅游发展大会服务为目标，提升县城的“颜值”。城市管理部门</w:t>
            </w:r>
            <w:proofErr w:type="gramStart"/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分片区</w:t>
            </w:r>
            <w:proofErr w:type="gramEnd"/>
            <w:r w:rsidRPr="00330AC4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对楼体立面、各类杂乱设置的广告、招牌进行集中整治，清理“城市牛皮癣”违规广告，打造整洁干净的街景，提升靓丽街区。</w:t>
            </w:r>
          </w:p>
          <w:p w:rsidR="007A0DDE" w:rsidRPr="00330AC4" w:rsidRDefault="0089084C" w:rsidP="00330AC4">
            <w:pPr>
              <w:spacing w:line="44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3.加强政策宣传力度。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充分利用广播、电视、条幅、标语、</w:t>
            </w:r>
            <w:proofErr w:type="gramStart"/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微信公众号</w:t>
            </w:r>
            <w:proofErr w:type="gramEnd"/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等多种形式进行广泛宣传教育的方法，向居民讲解“两违”建筑存在的安全隐患，影响市容市貌，非法占用国有土地等一系列问题，劝阻“两违”户主停止违法行为;向群众普及依法建设、合法用地的法律法规。做到三江县城乡居民对“两违”建筑和法律法规的认知，从思想上理解和支持拆违。</w:t>
            </w:r>
          </w:p>
        </w:tc>
      </w:tr>
      <w:tr w:rsidR="007A0DDE" w:rsidRPr="00330AC4" w:rsidTr="00330AC4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89084C" w:rsidRPr="00330AC4" w:rsidRDefault="0089084C" w:rsidP="00330AC4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1.专项经费预算编制不够准确</w:t>
            </w:r>
            <w:r w:rsidR="006B4351"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。</w:t>
            </w:r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根据</w:t>
            </w: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三江县城市管理行政执法局</w:t>
            </w:r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CN"/>
              </w:rPr>
              <w:t>2019年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经费测算明细⑴环境卫生、市容市貌整治、⑵拆除“两违”建筑费用</w:t>
            </w:r>
            <w:r w:rsidRPr="00330AC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等工作经费编制还不够细化和准确，如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环境卫生、市容市貌整治、占道经营整治、划</w:t>
            </w:r>
            <w:proofErr w:type="gramStart"/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行规市</w:t>
            </w:r>
            <w:proofErr w:type="gramEnd"/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管理</w:t>
            </w:r>
            <w:r w:rsidRPr="00330AC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年初预算40万元，实际支出仅21.59万元，实际支出数仅为年初预算的53.97%；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推进县城停车管理</w:t>
            </w:r>
            <w:r w:rsidRPr="00330AC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年初预算57.63万元，实际专项经费未支出；</w:t>
            </w:r>
            <w:r w:rsidRPr="00330AC4">
              <w:rPr>
                <w:rFonts w:asciiTheme="minorEastAsia" w:hAnsiTheme="minorEastAsia" w:cs="仿宋_GB2312" w:hint="eastAsia"/>
                <w:sz w:val="24"/>
                <w:szCs w:val="24"/>
              </w:rPr>
              <w:t>拆除“两违”建筑费用</w:t>
            </w:r>
            <w:r w:rsidRPr="00330AC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年初预算83万元，实际支出150.18万元，实际支出数超出年初预算的180.93%。</w:t>
            </w:r>
          </w:p>
          <w:p w:rsidR="007A0DDE" w:rsidRPr="00330AC4" w:rsidRDefault="0089084C" w:rsidP="00330AC4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lastRenderedPageBreak/>
              <w:t>2.</w:t>
            </w: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资金管理制度执行不到位</w:t>
            </w:r>
            <w:r w:rsidR="006B4351"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未实行分项核算，其他资金支出也记在专项经费一同使用。经查看凭证，使用专项经费支付单位日常经费，如</w:t>
            </w: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支付福临文化公司文化指导服务费、付柳州参加扫黑除恶工作会差旅费等现象。</w:t>
            </w:r>
          </w:p>
        </w:tc>
      </w:tr>
      <w:tr w:rsidR="007A0DDE" w:rsidRPr="00330AC4" w:rsidTr="00330AC4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整改建议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89084C" w:rsidRPr="00330AC4" w:rsidRDefault="0089084C" w:rsidP="00330AC4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1.不断提高单位预算编制水平</w:t>
            </w:r>
            <w:r w:rsidR="006B4351"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预算单位应注重预算编制管理工作，结合事业发展需要做好下一年度项目规划，进一步细化项目预算，确保年度预算编制科学、规范。</w:t>
            </w:r>
          </w:p>
          <w:p w:rsidR="0089084C" w:rsidRPr="00330AC4" w:rsidRDefault="0089084C" w:rsidP="00330AC4">
            <w:pPr>
              <w:spacing w:line="4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  <w:lang w:val="zh-TW"/>
              </w:rPr>
            </w:pP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2.加强会计基础工作规范</w:t>
            </w:r>
            <w:r w:rsidR="006B4351"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Pr="00330AC4">
              <w:rPr>
                <w:rFonts w:asciiTheme="minorEastAsia" w:hAnsiTheme="minorEastAsia" w:cs="楷体_GB2312" w:hint="eastAsia"/>
                <w:snapToGrid w:val="0"/>
                <w:sz w:val="24"/>
                <w:szCs w:val="24"/>
              </w:rPr>
              <w:t>（1）</w:t>
            </w:r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完善财务管理工作。严把财务审核关，关注原始凭证的合法性、完整性，对不合</w:t>
            </w:r>
            <w:proofErr w:type="gramStart"/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规</w:t>
            </w:r>
            <w:proofErr w:type="gramEnd"/>
            <w:r w:rsidRPr="00330AC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的经济业务不予受理，并要求及时更正。</w:t>
            </w:r>
            <w:r w:rsidRPr="00330AC4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进一步规范会计核算工作，</w:t>
            </w:r>
            <w:r w:rsidRPr="00330AC4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严格按照《行政事业单位会计制度》的有关规定，</w:t>
            </w:r>
            <w:r w:rsidRPr="00330AC4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规范使用会计科目进行会计核算及</w:t>
            </w:r>
            <w:r w:rsidRPr="00330AC4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会计档案管理。</w:t>
            </w: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（2）加强对会计人员培训，提升会计核算水平及制度的执行力。重视财务人员后续教育，财务人员要熟悉并</w:t>
            </w:r>
            <w:r w:rsidRPr="00330AC4">
              <w:rPr>
                <w:rFonts w:asciiTheme="minorEastAsia" w:hAnsiTheme="minorEastAsia" w:cs="仿宋" w:hint="eastAsia"/>
                <w:sz w:val="24"/>
                <w:szCs w:val="24"/>
              </w:rPr>
              <w:t>严格执行《会计法》《预算法》</w:t>
            </w:r>
            <w:r w:rsidRPr="00330AC4">
              <w:rPr>
                <w:rFonts w:asciiTheme="minorEastAsia" w:hAnsiTheme="minorEastAsia" w:cs="仿宋" w:hint="eastAsia"/>
                <w:sz w:val="24"/>
                <w:szCs w:val="24"/>
                <w:shd w:val="clear" w:color="auto" w:fill="FFFFFF"/>
              </w:rPr>
              <w:t>《会计基础工作规范》及</w:t>
            </w:r>
            <w:r w:rsidRPr="00330AC4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行业会计制度，</w:t>
            </w:r>
            <w:r w:rsidRPr="00330AC4">
              <w:rPr>
                <w:rFonts w:asciiTheme="minorEastAsia" w:hAnsiTheme="minorEastAsia" w:cs="仿宋" w:hint="eastAsia"/>
                <w:sz w:val="24"/>
                <w:szCs w:val="24"/>
              </w:rPr>
              <w:t>规范会计核算行为</w:t>
            </w:r>
            <w:r w:rsidRPr="00330AC4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，做到会计信息资料及时、完整，审批程序及会计核算规范，确保报表数据真实性和准确性。</w:t>
            </w:r>
          </w:p>
          <w:p w:rsidR="007A0DDE" w:rsidRPr="00330AC4" w:rsidRDefault="0089084C" w:rsidP="00330AC4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3.加强项目</w:t>
            </w:r>
            <w:r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绩效管理</w:t>
            </w:r>
            <w:r w:rsidR="006B4351" w:rsidRPr="00330AC4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Pr="00330A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）牢固树立绩效管理意识，优化财政资源配置效率。强化绩效理念，将绩效理念和方法深度融入预算编制、执行、监督全过程，构建事前事中事后绩效管理闭环系统。（2）积极开展项目动态监控，着力推进项目实施进度。参与相关部门项目的组织实施，确保项目如期完成发挥效益。</w:t>
            </w:r>
          </w:p>
        </w:tc>
      </w:tr>
      <w:tr w:rsidR="007A0DDE" w:rsidRPr="00330AC4" w:rsidTr="00330AC4">
        <w:trPr>
          <w:trHeight w:val="688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7A0DDE" w:rsidRPr="00330AC4" w:rsidRDefault="00717250" w:rsidP="00330AC4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南宁方元智汇财务咨询有限公司</w:t>
            </w:r>
          </w:p>
          <w:p w:rsidR="007A0DDE" w:rsidRPr="00330AC4" w:rsidRDefault="00717250" w:rsidP="00330AC4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330A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月30日</w:t>
            </w:r>
          </w:p>
        </w:tc>
      </w:tr>
      <w:bookmarkEnd w:id="0"/>
    </w:tbl>
    <w:p w:rsidR="007A0DDE" w:rsidRPr="00330AC4" w:rsidRDefault="007A0DDE" w:rsidP="00330AC4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sectPr w:rsidR="007A0DDE" w:rsidRPr="00330AC4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08" w:rsidRDefault="00703508" w:rsidP="00717250">
      <w:r>
        <w:separator/>
      </w:r>
    </w:p>
  </w:endnote>
  <w:endnote w:type="continuationSeparator" w:id="0">
    <w:p w:rsidR="00703508" w:rsidRDefault="00703508" w:rsidP="007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08" w:rsidRDefault="00703508" w:rsidP="00717250">
      <w:r>
        <w:separator/>
      </w:r>
    </w:p>
  </w:footnote>
  <w:footnote w:type="continuationSeparator" w:id="0">
    <w:p w:rsidR="00703508" w:rsidRDefault="00703508" w:rsidP="0071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61F88"/>
    <w:rsid w:val="001925B5"/>
    <w:rsid w:val="001F5E8F"/>
    <w:rsid w:val="002B15CF"/>
    <w:rsid w:val="00330AC4"/>
    <w:rsid w:val="00432751"/>
    <w:rsid w:val="00452B64"/>
    <w:rsid w:val="006B4351"/>
    <w:rsid w:val="00703508"/>
    <w:rsid w:val="00717250"/>
    <w:rsid w:val="00754BC2"/>
    <w:rsid w:val="007679A1"/>
    <w:rsid w:val="007A0DDE"/>
    <w:rsid w:val="007A720A"/>
    <w:rsid w:val="0089084C"/>
    <w:rsid w:val="00B70CB7"/>
    <w:rsid w:val="00C22B03"/>
    <w:rsid w:val="00D044B8"/>
    <w:rsid w:val="00E11D12"/>
    <w:rsid w:val="00E129DE"/>
    <w:rsid w:val="00E36624"/>
    <w:rsid w:val="04B16009"/>
    <w:rsid w:val="0B306B3E"/>
    <w:rsid w:val="585D434A"/>
    <w:rsid w:val="5CAA6EB2"/>
    <w:rsid w:val="5E2A5D60"/>
    <w:rsid w:val="73134FC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正文1"/>
    <w:qFormat/>
    <w:rsid w:val="002B15CF"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正文1"/>
    <w:qFormat/>
    <w:rsid w:val="002B15CF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lenovo</cp:lastModifiedBy>
  <cp:revision>7</cp:revision>
  <dcterms:created xsi:type="dcterms:W3CDTF">2020-10-20T13:57:00Z</dcterms:created>
  <dcterms:modified xsi:type="dcterms:W3CDTF">2020-12-15T15:52:00Z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