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年三江县</w:t>
      </w:r>
      <w:r>
        <w:rPr>
          <w:rFonts w:hint="eastAsia" w:ascii="黑体" w:hAnsi="黑体" w:eastAsia="黑体" w:cs="黑体"/>
          <w:b w:val="0"/>
          <w:bCs/>
          <w:sz w:val="32"/>
          <w:szCs w:val="32"/>
        </w:rPr>
        <w:t>纪检监察干部业务专题培训经费</w:t>
      </w:r>
      <w:r>
        <w:rPr>
          <w:rFonts w:hint="eastAsia" w:ascii="黑体" w:hAnsi="黑体" w:eastAsia="黑体"/>
          <w:sz w:val="32"/>
          <w:szCs w:val="32"/>
        </w:rPr>
        <w:t>项目支出绩效再评价结果</w:t>
      </w:r>
    </w:p>
    <w:tbl>
      <w:tblPr>
        <w:tblStyle w:val="7"/>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ascii="仿宋" w:hAnsi="仿宋" w:cs="仿宋"/>
                <w:b w:val="0"/>
                <w:bCs/>
                <w:sz w:val="24"/>
                <w:szCs w:val="24"/>
              </w:rPr>
              <w:t>纪检监察干部业务专题培训经费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预算金额（万元）</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64.92</w:t>
            </w:r>
            <w:r>
              <w:rPr>
                <w:rFonts w:hint="eastAsia" w:cs="宋体" w:asciiTheme="minorEastAsia" w:hAnsiTheme="minorEastAsi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noWrap/>
            <w:vAlign w:val="center"/>
          </w:tcPr>
          <w:p>
            <w:pPr>
              <w:ind w:firstLine="741" w:firstLineChars="309"/>
              <w:jc w:val="left"/>
              <w:rPr>
                <w:rFonts w:ascii="仿宋" w:hAnsi="仿宋"/>
                <w:b w:val="0"/>
                <w:bCs w:val="0"/>
                <w:sz w:val="24"/>
                <w:szCs w:val="24"/>
                <w:lang w:val="zh-CN"/>
              </w:rPr>
            </w:pPr>
            <w:r>
              <w:rPr>
                <w:rFonts w:hint="eastAsia" w:cs="宋体" w:asciiTheme="minorEastAsia" w:hAnsiTheme="minorEastAsia"/>
                <w:b w:val="0"/>
                <w:bCs w:val="0"/>
                <w:color w:val="000000"/>
                <w:kern w:val="0"/>
                <w:sz w:val="24"/>
                <w:szCs w:val="24"/>
              </w:rPr>
              <w:t>三江侗族自治县</w:t>
            </w:r>
            <w:r>
              <w:rPr>
                <w:rFonts w:hint="eastAsia" w:ascii="仿宋" w:hAnsi="仿宋" w:cs="仿宋"/>
                <w:b w:val="0"/>
                <w:bCs w:val="0"/>
                <w:sz w:val="24"/>
                <w:szCs w:val="24"/>
              </w:rPr>
              <w:t xml:space="preserve">纪律检查委员会 </w:t>
            </w:r>
          </w:p>
          <w:p>
            <w:pPr>
              <w:widowControl/>
              <w:spacing w:line="440" w:lineRule="exact"/>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得分：</w:t>
            </w:r>
            <w:r>
              <w:rPr>
                <w:rFonts w:hint="eastAsia" w:cs="宋体" w:asciiTheme="minorEastAsia" w:hAnsiTheme="minorEastAsia"/>
                <w:color w:val="000000"/>
                <w:kern w:val="0"/>
                <w:sz w:val="24"/>
                <w:szCs w:val="24"/>
                <w:lang w:val="en-US" w:eastAsia="zh-CN"/>
              </w:rPr>
              <w:t>94.5</w:t>
            </w:r>
            <w:r>
              <w:rPr>
                <w:rFonts w:hint="eastAsia" w:asciiTheme="minorEastAsia" w:hAnsiTheme="minorEastAsia"/>
                <w:bCs/>
                <w:sz w:val="24"/>
                <w:szCs w:val="24"/>
              </w:rPr>
              <w:t xml:space="preserve">分  </w:t>
            </w:r>
            <w:r>
              <w:rPr>
                <w:rFonts w:hint="eastAsia" w:cs="宋体" w:asciiTheme="minorEastAsia" w:hAnsiTheme="minorEastAsia"/>
                <w:color w:val="000000"/>
                <w:kern w:val="0"/>
                <w:sz w:val="24"/>
                <w:szCs w:val="24"/>
              </w:rPr>
              <w:t>评价等级：优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color w:val="000000"/>
                <w:kern w:val="0"/>
                <w:sz w:val="24"/>
                <w:szCs w:val="24"/>
              </w:rPr>
            </w:pPr>
            <w:r>
              <w:rPr>
                <w:rFonts w:hint="eastAsia" w:asciiTheme="minorEastAsia" w:hAnsiTheme="minorEastAsia" w:eastAsiaTheme="minorEastAsia" w:cstheme="minorEastAsia"/>
                <w:bCs/>
                <w:sz w:val="24"/>
                <w:szCs w:val="24"/>
                <w:highlight w:val="none"/>
              </w:rPr>
              <w:t>三江县</w:t>
            </w:r>
            <w:r>
              <w:rPr>
                <w:rFonts w:hint="eastAsia" w:ascii="仿宋" w:hAnsi="仿宋" w:cs="仿宋"/>
                <w:b w:val="0"/>
                <w:bCs w:val="0"/>
                <w:sz w:val="24"/>
                <w:szCs w:val="24"/>
              </w:rPr>
              <w:t>纪律检查委员会</w:t>
            </w:r>
            <w:r>
              <w:rPr>
                <w:rFonts w:hint="eastAsia" w:ascii="仿宋" w:hAnsi="仿宋" w:cs="仿宋"/>
                <w:b w:val="0"/>
                <w:bCs w:val="0"/>
                <w:sz w:val="24"/>
                <w:szCs w:val="24"/>
                <w:lang w:val="en-US" w:eastAsia="zh-CN"/>
              </w:rPr>
              <w:t>根据</w:t>
            </w:r>
            <w:r>
              <w:rPr>
                <w:rFonts w:hint="eastAsia" w:asciiTheme="minorEastAsia" w:hAnsiTheme="minorEastAsia" w:eastAsiaTheme="minorEastAsia" w:cstheme="minorEastAsia"/>
                <w:color w:val="000000"/>
                <w:kern w:val="10"/>
                <w:sz w:val="24"/>
                <w:szCs w:val="24"/>
                <w:highlight w:val="none"/>
              </w:rPr>
              <w:t>三江县财政局《关于2020年部门预算支出绩效目标的批复》（三财政〔2020〕542号）等</w:t>
            </w:r>
            <w:r>
              <w:rPr>
                <w:rFonts w:hint="eastAsia" w:asciiTheme="minorEastAsia" w:hAnsiTheme="minorEastAsia" w:eastAsiaTheme="minorEastAsia" w:cstheme="minorEastAsia"/>
                <w:kern w:val="0"/>
                <w:sz w:val="24"/>
                <w:szCs w:val="24"/>
                <w:highlight w:val="none"/>
              </w:rPr>
              <w:t>文件精神组织项目实施。</w:t>
            </w:r>
            <w:r>
              <w:rPr>
                <w:rFonts w:hint="eastAsia" w:ascii="仿宋" w:hAnsi="仿宋" w:cs="宋体"/>
                <w:kern w:val="0"/>
                <w:sz w:val="24"/>
                <w:szCs w:val="24"/>
              </w:rPr>
              <w:t>投入指标完成绩效目标较好，项目立项依据充分，目标明确、合理，项目资金列入年初预算，培训方案按规定上报县党委并得到批准。过程方面，单位内部管理制度制定规范、详细、较完整，但项目具体实施时间相对滞后；对政府采购制度执行的规范性有待加强，会计核算还不够规范；产出指标绩效目标完成较好；效果方面，社会效益指标均能完成绩效目标计划，社会公众或服务对象满意度较高。</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contextualSpacing/>
              <w:textAlignment w:val="auto"/>
              <w:rPr>
                <w:rFonts w:hint="default" w:cs="宋体" w:asciiTheme="minorEastAsia" w:hAnsiTheme="minorEastAsia"/>
                <w:kern w:val="0"/>
                <w:sz w:val="24"/>
                <w:szCs w:val="24"/>
                <w:lang w:val="en-US"/>
              </w:rPr>
            </w:pPr>
            <w:r>
              <w:rPr>
                <w:rFonts w:hint="eastAsia" w:cs="宋体" w:asciiTheme="minorEastAsia" w:hAnsiTheme="minorEastAsia"/>
                <w:kern w:val="0"/>
                <w:sz w:val="24"/>
                <w:szCs w:val="24"/>
              </w:rPr>
              <w:t>1．项目绩效：</w:t>
            </w:r>
            <w:r>
              <w:rPr>
                <w:rFonts w:hint="eastAsia" w:cs="宋体" w:asciiTheme="minorEastAsia" w:hAnsiTheme="minorEastAsia"/>
                <w:kern w:val="0"/>
                <w:sz w:val="24"/>
                <w:szCs w:val="24"/>
                <w:lang w:val="en-US" w:eastAsia="zh-CN"/>
              </w:rPr>
              <w:t>计划</w:t>
            </w:r>
            <w:r>
              <w:rPr>
                <w:rFonts w:hint="eastAsia" w:asciiTheme="minorEastAsia" w:hAnsiTheme="minorEastAsia"/>
                <w:bCs/>
                <w:sz w:val="24"/>
                <w:szCs w:val="24"/>
              </w:rPr>
              <w:t>完成培训2期，</w:t>
            </w:r>
            <w:r>
              <w:rPr>
                <w:rFonts w:hint="eastAsia" w:asciiTheme="minorEastAsia" w:hAnsiTheme="minorEastAsia"/>
                <w:bCs/>
                <w:sz w:val="24"/>
                <w:szCs w:val="24"/>
                <w:lang w:val="en-US" w:eastAsia="zh-CN"/>
              </w:rPr>
              <w:t>计划</w:t>
            </w:r>
            <w:r>
              <w:rPr>
                <w:rFonts w:hint="eastAsia" w:asciiTheme="minorEastAsia" w:hAnsiTheme="minorEastAsia"/>
                <w:bCs/>
                <w:sz w:val="24"/>
                <w:szCs w:val="24"/>
              </w:rPr>
              <w:t>每期50人</w:t>
            </w: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参加培训人员大于95%</w:t>
            </w: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实际</w:t>
            </w:r>
            <w:r>
              <w:rPr>
                <w:rFonts w:hint="eastAsia" w:asciiTheme="minorEastAsia" w:hAnsiTheme="minorEastAsia"/>
                <w:bCs/>
                <w:sz w:val="24"/>
                <w:szCs w:val="24"/>
              </w:rPr>
              <w:t>完成培训2期</w:t>
            </w: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实际参加培训人员大于95%。</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default" w:asciiTheme="minorEastAsia" w:hAnsiTheme="minorEastAsia" w:eastAsiaTheme="minorEastAsia"/>
                <w:b/>
                <w:sz w:val="24"/>
                <w:szCs w:val="24"/>
                <w:lang w:val="en-US" w:eastAsia="zh-CN"/>
              </w:rPr>
            </w:pPr>
            <w:r>
              <w:rPr>
                <w:rFonts w:hint="eastAsia" w:asciiTheme="minorEastAsia" w:hAnsiTheme="minorEastAsia"/>
                <w:b w:val="0"/>
                <w:bCs/>
                <w:sz w:val="24"/>
                <w:szCs w:val="24"/>
              </w:rPr>
              <w:t>2.资金使用：</w:t>
            </w:r>
            <w:r>
              <w:rPr>
                <w:rFonts w:hint="eastAsia" w:asciiTheme="minorEastAsia" w:hAnsiTheme="minorEastAsia"/>
                <w:b w:val="0"/>
                <w:bCs/>
                <w:sz w:val="24"/>
                <w:szCs w:val="24"/>
                <w:lang w:val="en-US" w:eastAsia="zh-CN"/>
              </w:rPr>
              <w:t>项目预算资金64.92万元，实际到位资金44.04万元，资金到位率，实际使用资金40.63万元，资金使用率为92.25%。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1.项目实施到位。三江县纪委根据中央纪委国家监委、自治区纪委监委关于全员培训的部署要求，以及中央纪委办公厅《关于切实加强7省区2020 年扶贫领域腐败和作风问题专项治理工作的指导意见》精神，开展三江县纪检监察业务专题培训业务。项目设立切合工作实际，立项依据充分，具体实施流程规范、程序完整，培训人员到位，培训及时，培训效果达到预定绩效目标。</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单位内部控制制度规范。三江县纪委对单位内部管理体制建设非常重视，内控意识较强，根据按照财政部《行政事业单位内部控制规范》（试行）要求，成立内部控制建设领导小组，制定了较为详细的《2020年内部控制制度与流程》，内容包括：《预算管理制度》《收入管理制度》《支出管理制度》《采购管理制度》《资产管理制度》《合同管理制度》、《公章管理制度》《内部评级与监督管理制定》《权力集中的重点领域与关键岗位监理制衡机制》《“三重一大”制度等管理制度》《专项资金管理制度》等，制度设置内容全面，涉及面广，定岗定责，细化管理流程和防控风险到位，制度制定规范，内部控制制度体系完善，可操作性强，切实可行。</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rPr>
              <w:t>1.对预算执行的及时性和规范性方面有待加强</w:t>
            </w:r>
            <w:r>
              <w:rPr>
                <w:rFonts w:hint="eastAsia" w:asciiTheme="minorEastAsia" w:hAnsiTheme="minorEastAsia" w:eastAsiaTheme="minorEastAsia" w:cstheme="minorEastAsia"/>
                <w:b w:val="0"/>
                <w:bCs/>
                <w:sz w:val="24"/>
                <w:szCs w:val="24"/>
              </w:rPr>
              <w:t>。三江县纪委的纪检监察干部业务专题培训项目为年初部门预算安排项目，具体实施时间安排在2020年10月9日-22日，资金支付时间为11月，项目具体实施时间和预算资金支出进度相对滞后。项目实施前未根据三江县财政局《关于规范办理政府采购相关事项的通知》（三财政〔2019〕361 号）规定办理政府采购相关手续。</w:t>
            </w:r>
            <w:r>
              <w:rPr>
                <w:rFonts w:hint="eastAsia" w:asciiTheme="minorEastAsia" w:hAnsiTheme="minorEastAsia" w:eastAsiaTheme="minorEastAsia" w:cstheme="minorEastAsia"/>
                <w:b w:val="0"/>
                <w:bCs/>
                <w:kern w:val="0"/>
                <w:sz w:val="24"/>
                <w:szCs w:val="24"/>
              </w:rPr>
              <w:t>预算执行的及时性和规范性方面有待加强。</w:t>
            </w:r>
          </w:p>
          <w:p>
            <w:pPr>
              <w:pStyle w:val="4"/>
              <w:keepNext w:val="0"/>
              <w:keepLines w:val="0"/>
              <w:pageBreakBefore w:val="0"/>
              <w:kinsoku/>
              <w:wordWrap/>
              <w:overflowPunct/>
              <w:topLinePunct w:val="0"/>
              <w:autoSpaceDE/>
              <w:autoSpaceDN/>
              <w:bidi w:val="0"/>
              <w:adjustRightInd/>
              <w:snapToGrid/>
              <w:spacing w:line="480" w:lineRule="exact"/>
              <w:ind w:left="0" w:leftChars="0" w:firstLine="480" w:firstLineChars="200"/>
              <w:textAlignment w:val="auto"/>
              <w:rPr>
                <w:rFonts w:cs="宋体" w:asciiTheme="minorEastAsia" w:hAnsiTheme="minorEastAsia"/>
                <w:color w:val="000000"/>
                <w:kern w:val="0"/>
                <w:sz w:val="24"/>
                <w:szCs w:val="24"/>
              </w:rPr>
            </w:pPr>
            <w:r>
              <w:rPr>
                <w:rFonts w:hint="eastAsia" w:asciiTheme="minorEastAsia" w:hAnsiTheme="minorEastAsia" w:eastAsiaTheme="minorEastAsia" w:cstheme="minorEastAsia"/>
                <w:b w:val="0"/>
                <w:bCs/>
                <w:sz w:val="24"/>
                <w:szCs w:val="24"/>
              </w:rPr>
              <w:t>2.</w:t>
            </w:r>
            <w:r>
              <w:rPr>
                <w:rFonts w:hint="eastAsia" w:asciiTheme="minorEastAsia" w:hAnsiTheme="minorEastAsia" w:eastAsiaTheme="minorEastAsia" w:cstheme="minorEastAsia"/>
                <w:b w:val="0"/>
                <w:bCs/>
                <w:kern w:val="0"/>
                <w:sz w:val="24"/>
                <w:szCs w:val="24"/>
              </w:rPr>
              <w:t>会计基础工作需要进一步规范和强化。经核查，三江县纪委</w:t>
            </w:r>
            <w:r>
              <w:rPr>
                <w:rFonts w:hint="eastAsia" w:asciiTheme="minorEastAsia" w:hAnsiTheme="minorEastAsia" w:eastAsiaTheme="minorEastAsia" w:cstheme="minorEastAsia"/>
                <w:b w:val="0"/>
                <w:bCs/>
                <w:sz w:val="24"/>
                <w:szCs w:val="24"/>
              </w:rPr>
              <w:t>制定有相应的内部控制制度并严格执行，但在会计业务处理方面，仍存在部分发票背书无经办人、证明人签字、培训项目资金支付凭证未附学员签到表的现象，会计基础规范还需进一步加强。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rPr>
              <w:t>1.进一步加强财政资金的使用管理，提高资金使用效率。</w:t>
            </w:r>
            <w:r>
              <w:rPr>
                <w:rFonts w:hint="eastAsia" w:asciiTheme="minorEastAsia" w:hAnsiTheme="minorEastAsia" w:eastAsiaTheme="minorEastAsia" w:cstheme="minorEastAsia"/>
                <w:b w:val="0"/>
                <w:bCs/>
                <w:sz w:val="24"/>
                <w:szCs w:val="24"/>
              </w:rPr>
              <w:t>三江县纪委应</w:t>
            </w:r>
            <w:r>
              <w:rPr>
                <w:rFonts w:hint="eastAsia" w:asciiTheme="minorEastAsia" w:hAnsiTheme="minorEastAsia" w:eastAsiaTheme="minorEastAsia" w:cstheme="minorEastAsia"/>
                <w:b w:val="0"/>
                <w:bCs/>
                <w:kern w:val="0"/>
                <w:sz w:val="24"/>
                <w:szCs w:val="24"/>
              </w:rPr>
              <w:t>进一步加强财政资金的使用管理，根据部门预算安排的项目计划，合理安排项目实施，完善政府采购环节手续，加快资金支出进度，提高资金使用效率。</w:t>
            </w:r>
          </w:p>
          <w:p>
            <w:pPr>
              <w:pStyle w:val="4"/>
              <w:keepNext w:val="0"/>
              <w:keepLines w:val="0"/>
              <w:pageBreakBefore w:val="0"/>
              <w:kinsoku/>
              <w:wordWrap/>
              <w:overflowPunct/>
              <w:topLinePunct w:val="0"/>
              <w:autoSpaceDE/>
              <w:autoSpaceDN/>
              <w:bidi w:val="0"/>
              <w:adjustRightInd/>
              <w:snapToGrid/>
              <w:spacing w:line="480" w:lineRule="exact"/>
              <w:ind w:left="0" w:leftChars="0" w:firstLine="480" w:firstLineChars="200"/>
              <w:textAlignment w:val="auto"/>
              <w:rPr>
                <w:rFonts w:cs="宋体" w:asciiTheme="minorEastAsia" w:hAnsiTheme="minorEastAsia"/>
                <w:color w:val="000000"/>
                <w:kern w:val="0"/>
                <w:sz w:val="24"/>
                <w:szCs w:val="24"/>
              </w:rPr>
            </w:pPr>
            <w:r>
              <w:rPr>
                <w:rFonts w:hint="eastAsia" w:asciiTheme="minorEastAsia" w:hAnsiTheme="minorEastAsia" w:eastAsiaTheme="minorEastAsia" w:cstheme="minorEastAsia"/>
                <w:b w:val="0"/>
                <w:bCs/>
                <w:sz w:val="24"/>
                <w:szCs w:val="24"/>
              </w:rPr>
              <w:t>2.</w:t>
            </w:r>
            <w:r>
              <w:rPr>
                <w:rFonts w:hint="eastAsia" w:asciiTheme="minorEastAsia" w:hAnsiTheme="minorEastAsia" w:eastAsiaTheme="minorEastAsia" w:cstheme="minorEastAsia"/>
                <w:b w:val="0"/>
                <w:bCs/>
                <w:kern w:val="0"/>
                <w:sz w:val="24"/>
                <w:szCs w:val="24"/>
              </w:rPr>
              <w:t>加强会计基础规范工作。财务人员</w:t>
            </w:r>
            <w:r>
              <w:rPr>
                <w:rFonts w:hint="eastAsia" w:asciiTheme="minorEastAsia" w:hAnsiTheme="minorEastAsia" w:eastAsiaTheme="minorEastAsia" w:cstheme="minorEastAsia"/>
                <w:b w:val="0"/>
                <w:bCs/>
                <w:sz w:val="24"/>
                <w:szCs w:val="24"/>
              </w:rPr>
              <w:t>应加强</w:t>
            </w:r>
            <w:r>
              <w:rPr>
                <w:rFonts w:hint="eastAsia" w:asciiTheme="minorEastAsia" w:hAnsiTheme="minorEastAsia" w:eastAsiaTheme="minorEastAsia" w:cstheme="minorEastAsia"/>
                <w:b w:val="0"/>
                <w:bCs/>
                <w:kern w:val="0"/>
                <w:sz w:val="24"/>
                <w:szCs w:val="24"/>
              </w:rPr>
              <w:t>学习</w:t>
            </w:r>
            <w:r>
              <w:rPr>
                <w:rFonts w:hint="eastAsia" w:asciiTheme="minorEastAsia" w:hAnsiTheme="minorEastAsia" w:eastAsiaTheme="minorEastAsia" w:cstheme="minorEastAsia"/>
                <w:b w:val="0"/>
                <w:bCs/>
                <w:sz w:val="24"/>
                <w:szCs w:val="24"/>
              </w:rPr>
              <w:t>《预算法》、</w:t>
            </w:r>
            <w:r>
              <w:rPr>
                <w:rFonts w:hint="eastAsia" w:asciiTheme="minorEastAsia" w:hAnsiTheme="minorEastAsia" w:eastAsiaTheme="minorEastAsia" w:cstheme="minorEastAsia"/>
                <w:b w:val="0"/>
                <w:bCs/>
                <w:sz w:val="24"/>
                <w:szCs w:val="24"/>
              </w:rPr>
              <w:fldChar w:fldCharType="begin"/>
            </w:r>
            <w:r>
              <w:rPr>
                <w:rFonts w:hint="eastAsia" w:asciiTheme="minorEastAsia" w:hAnsiTheme="minorEastAsia" w:eastAsiaTheme="minorEastAsia" w:cstheme="minorEastAsia"/>
                <w:b w:val="0"/>
                <w:bCs/>
                <w:sz w:val="24"/>
                <w:szCs w:val="24"/>
              </w:rPr>
              <w:instrText xml:space="preserve"> HYPERLINK "https://www.baidu.com/s?wd=%E3%80%8A%E4%BC%9A%E8%AE%A1%E6%B3%95%E3%80%8B&amp;tn=SE_PcZhidaonwhc_ngpagmjz&amp;rsv_dl=gh_pc_zhidao" \t "_blank" </w:instrText>
            </w:r>
            <w:r>
              <w:rPr>
                <w:rFonts w:hint="eastAsia" w:asciiTheme="minorEastAsia" w:hAnsiTheme="minorEastAsia" w:eastAsiaTheme="minorEastAsia" w:cstheme="minorEastAsia"/>
                <w:b w:val="0"/>
                <w:bCs/>
                <w:sz w:val="24"/>
                <w:szCs w:val="24"/>
              </w:rPr>
              <w:fldChar w:fldCharType="separate"/>
            </w:r>
            <w:r>
              <w:rPr>
                <w:rFonts w:hint="eastAsia" w:asciiTheme="minorEastAsia" w:hAnsiTheme="minorEastAsia" w:eastAsiaTheme="minorEastAsia" w:cstheme="minorEastAsia"/>
                <w:b w:val="0"/>
                <w:bCs/>
                <w:sz w:val="24"/>
                <w:szCs w:val="24"/>
              </w:rPr>
              <w:t>《会计法》</w:t>
            </w:r>
            <w:r>
              <w:rPr>
                <w:rFonts w:hint="eastAsia" w:asciiTheme="minorEastAsia" w:hAnsiTheme="minorEastAsia" w:eastAsiaTheme="minorEastAsia" w:cstheme="minorEastAsia"/>
                <w:b w:val="0"/>
                <w:bCs/>
                <w:sz w:val="24"/>
                <w:szCs w:val="24"/>
              </w:rPr>
              <w:fldChar w:fldCharType="end"/>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rPr>
              <w:fldChar w:fldCharType="begin"/>
            </w:r>
            <w:r>
              <w:rPr>
                <w:rFonts w:hint="eastAsia" w:asciiTheme="minorEastAsia" w:hAnsiTheme="minorEastAsia" w:eastAsiaTheme="minorEastAsia" w:cstheme="minorEastAsia"/>
                <w:b w:val="0"/>
                <w:bCs/>
                <w:sz w:val="24"/>
                <w:szCs w:val="24"/>
              </w:rPr>
              <w:instrText xml:space="preserve"> HYPERLINK "https://www.baidu.com/s?wd=%E3%80%8A%E4%BC%9A%E8%AE%A1%E5%9F%BA%E7%A1%80%E5%B7%A5%E4%BD%9C%E8%A7%84%E8%8C%83%E3%80%8B&amp;tn=SE_PcZhidaonwhc_ngpagmjz&amp;rsv_dl=gh_pc_zhidao" \t "_blank" </w:instrText>
            </w:r>
            <w:r>
              <w:rPr>
                <w:rFonts w:hint="eastAsia" w:asciiTheme="minorEastAsia" w:hAnsiTheme="minorEastAsia" w:eastAsiaTheme="minorEastAsia" w:cstheme="minorEastAsia"/>
                <w:b w:val="0"/>
                <w:bCs/>
                <w:sz w:val="24"/>
                <w:szCs w:val="24"/>
              </w:rPr>
              <w:fldChar w:fldCharType="separate"/>
            </w:r>
            <w:r>
              <w:rPr>
                <w:rFonts w:hint="eastAsia" w:asciiTheme="minorEastAsia" w:hAnsiTheme="minorEastAsia" w:eastAsiaTheme="minorEastAsia" w:cstheme="minorEastAsia"/>
                <w:b w:val="0"/>
                <w:bCs/>
                <w:sz w:val="24"/>
                <w:szCs w:val="24"/>
              </w:rPr>
              <w:t>《会计基础工作规范》</w:t>
            </w:r>
            <w:r>
              <w:rPr>
                <w:rFonts w:hint="eastAsia" w:asciiTheme="minorEastAsia" w:hAnsiTheme="minorEastAsia" w:eastAsiaTheme="minorEastAsia" w:cstheme="minorEastAsia"/>
                <w:b w:val="0"/>
                <w:bCs/>
                <w:sz w:val="24"/>
                <w:szCs w:val="24"/>
              </w:rPr>
              <w:fldChar w:fldCharType="end"/>
            </w:r>
            <w:r>
              <w:rPr>
                <w:rFonts w:hint="eastAsia" w:asciiTheme="minorEastAsia" w:hAnsiTheme="minorEastAsia" w:eastAsiaTheme="minorEastAsia" w:cstheme="minorEastAsia"/>
                <w:b w:val="0"/>
                <w:bCs/>
                <w:sz w:val="24"/>
                <w:szCs w:val="24"/>
              </w:rPr>
              <w:t>、《行政事业单位内部控制规范》、《政府会计准则》《政府采购法》等业务知识，在不断提高自身的专业知识和业务水平，强化会计基础规范工作，进一步加强对财政资金的监督管理，最大程度发挥财政资金在纪检监察工作领域的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仿宋" w:hAnsi="仿宋" w:cs="仿宋"/>
                <w:b w:val="0"/>
                <w:bCs w:val="0"/>
                <w:sz w:val="24"/>
                <w:szCs w:val="24"/>
              </w:rPr>
            </w:pPr>
            <w:r>
              <w:rPr>
                <w:rFonts w:hint="eastAsia" w:cs="宋体" w:asciiTheme="minorEastAsia" w:hAnsiTheme="minorEastAsia"/>
                <w:color w:val="000000"/>
                <w:kern w:val="0"/>
                <w:sz w:val="24"/>
                <w:szCs w:val="24"/>
              </w:rPr>
              <w:t>　</w:t>
            </w:r>
            <w:r>
              <w:rPr>
                <w:rFonts w:hint="eastAsia" w:ascii="仿宋" w:hAnsi="仿宋" w:cs="仿宋"/>
                <w:b w:val="0"/>
                <w:bCs w:val="0"/>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202</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年</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val="en-US" w:eastAsia="zh-CN"/>
              </w:rPr>
              <w:t>15</w:t>
            </w:r>
            <w:r>
              <w:rPr>
                <w:rFonts w:hint="eastAsia" w:cs="宋体" w:asciiTheme="minorEastAsia" w:hAnsiTheme="minorEastAsia"/>
                <w:color w:val="000000"/>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7D638"/>
    <w:multiLevelType w:val="singleLevel"/>
    <w:tmpl w:val="DCC7D63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3385235"/>
    <w:rsid w:val="04B16009"/>
    <w:rsid w:val="0B306B3E"/>
    <w:rsid w:val="21350849"/>
    <w:rsid w:val="38BB718E"/>
    <w:rsid w:val="4C7B2BB9"/>
    <w:rsid w:val="52220A31"/>
    <w:rsid w:val="585D434A"/>
    <w:rsid w:val="5CAA6EB2"/>
    <w:rsid w:val="5E2A5D60"/>
    <w:rsid w:val="633C793B"/>
    <w:rsid w:val="73134FCC"/>
    <w:rsid w:val="7B460DC8"/>
    <w:rsid w:val="7BB83770"/>
    <w:rsid w:val="7CED3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table of authorities"/>
    <w:basedOn w:val="1"/>
    <w:next w:val="1"/>
    <w:qFormat/>
    <w:uiPriority w:val="0"/>
    <w:pPr>
      <w:ind w:left="420" w:leftChars="200"/>
    </w:pPr>
    <w:rPr>
      <w:rFonts w:eastAsia="宋体"/>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99"/>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1">
    <w:name w:val="页眉 Char"/>
    <w:basedOn w:val="8"/>
    <w:link w:val="6"/>
    <w:qFormat/>
    <w:uiPriority w:val="99"/>
    <w:rPr>
      <w:rFonts w:asciiTheme="minorHAnsi" w:hAnsiTheme="minorHAnsi" w:eastAsiaTheme="minorEastAsia" w:cstheme="minorBidi"/>
      <w:kern w:val="2"/>
      <w:sz w:val="18"/>
      <w:szCs w:val="18"/>
    </w:rPr>
  </w:style>
  <w:style w:type="character" w:customStyle="1" w:styleId="12">
    <w:name w:val="页脚 Char"/>
    <w:basedOn w:val="8"/>
    <w:link w:val="5"/>
    <w:uiPriority w:val="99"/>
    <w:rPr>
      <w:rFonts w:asciiTheme="minorHAnsi" w:hAnsiTheme="minorHAnsi" w:eastAsiaTheme="minorEastAsia" w:cstheme="minorBidi"/>
      <w:kern w:val="2"/>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1561</Characters>
  <Lines>13</Lines>
  <Paragraphs>3</Paragraphs>
  <TotalTime>1</TotalTime>
  <ScaleCrop>false</ScaleCrop>
  <LinksUpToDate>false</LinksUpToDate>
  <CharactersWithSpaces>1831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Administrator</cp:lastModifiedBy>
  <dcterms:modified xsi:type="dcterms:W3CDTF">2021-10-22T05:17:16Z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1675633E6E6146548B96A7C26DB96F93</vt:lpwstr>
  </property>
</Properties>
</file>