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88" w:firstLineChars="309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20</w:t>
      </w: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/>
          <w:b w:val="0"/>
          <w:bCs w:val="0"/>
          <w:sz w:val="32"/>
          <w:szCs w:val="32"/>
        </w:rPr>
        <w:t>年三江县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高山鱼稻（再生稻）收购补贴项目</w:t>
      </w:r>
    </w:p>
    <w:p>
      <w:pPr>
        <w:jc w:val="center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支出绩效再评价结果</w:t>
      </w:r>
    </w:p>
    <w:tbl>
      <w:tblPr>
        <w:tblStyle w:val="5"/>
        <w:tblW w:w="965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</w:rPr>
              <w:t>高山鱼稻（再生稻）收购补贴项目</w:t>
            </w:r>
          </w:p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预算金额（万元）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80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85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项目实施单位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三江侗族自治县</w:t>
            </w: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</w:rPr>
              <w:t>供销合作社联合社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评价得分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得分：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9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 xml:space="preserve">分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评价等级：优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2" w:hRule="atLeast"/>
        </w:trPr>
        <w:tc>
          <w:tcPr>
            <w:tcW w:w="185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评价结论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三江县</w:t>
            </w:r>
            <w:bookmarkStart w:id="0" w:name="_Hlk82284309"/>
            <w:r>
              <w:rPr>
                <w:rFonts w:hint="eastAsia" w:ascii="仿宋" w:hAnsi="仿宋"/>
                <w:bCs/>
                <w:sz w:val="24"/>
                <w:szCs w:val="24"/>
              </w:rPr>
              <w:t>供销合作社联合社</w:t>
            </w:r>
            <w:bookmarkEnd w:id="0"/>
            <w:r>
              <w:rPr>
                <w:rFonts w:hint="eastAsia" w:ascii="仿宋" w:hAnsi="仿宋"/>
                <w:bCs/>
                <w:sz w:val="24"/>
                <w:szCs w:val="24"/>
              </w:rPr>
              <w:t>根据《</w:t>
            </w:r>
            <w:r>
              <w:rPr>
                <w:rFonts w:hint="eastAsia" w:ascii="仿宋" w:hAnsi="仿宋" w:cs="宋体"/>
                <w:sz w:val="24"/>
                <w:szCs w:val="24"/>
              </w:rPr>
              <w:t>三江县高山鱼稻（再生稻）购销实施方案》组织项目实施，</w:t>
            </w:r>
            <w:r>
              <w:rPr>
                <w:rFonts w:hint="eastAsia" w:ascii="仿宋" w:hAnsi="仿宋" w:cs="宋体"/>
                <w:kern w:val="0"/>
                <w:sz w:val="24"/>
                <w:szCs w:val="24"/>
              </w:rPr>
              <w:t>投入指标、过程指标、产出指标、效果指标、满意度指标按设定的绩效目标全面完成。</w:t>
            </w:r>
            <w:bookmarkStart w:id="4" w:name="_GoBack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85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主要绩效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contextualSpacing/>
              <w:textAlignment w:val="auto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1．项目绩效：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计划使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用县级配套资金实施</w:t>
            </w:r>
            <w:bookmarkStart w:id="1" w:name="_Hlk82198937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收购高山鱼稻（再生稻）湿谷</w:t>
            </w:r>
            <w:bookmarkEnd w:id="1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80万斤，实际完成收购77万斤，完成计划任务96%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2" w:firstLineChars="200"/>
              <w:contextualSpacing/>
              <w:textAlignment w:val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2.资金使用：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项目预算资金80万元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实际到位资金80万元，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资金到位率100%，实际使用资金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76.96万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元，资金使用率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96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5" w:hRule="atLeast"/>
        </w:trPr>
        <w:tc>
          <w:tcPr>
            <w:tcW w:w="185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经验及做法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contextualSpacing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1.三江县供销合作社联合社为了保障高山鱼稻（再生稻）收购任务顺利完成，制定了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三江县</w:t>
            </w:r>
            <w:bookmarkStart w:id="2" w:name="_Hlk82293176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高山鱼稻（再生稻）购</w:t>
            </w:r>
            <w:bookmarkEnd w:id="2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销实施方案》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，按方案组织开展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收购补贴工作。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组织成立高山鱼稻收购领导小组，由供销社、财政局、农业农村局、驻农口纪检组成员组成，从2020年4月14日为期4天的督查工作，确保高山鱼稻收购补贴工作按制定的目标完成。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2.县委宣传部加大对高山稻鱼和高山鱼稻的专版宣传推介，通过参加展销会、写好新闻报导、宾馆及酒店发放宣传册、户外广告宣传等，着力打造“中国·三江</w:t>
            </w:r>
            <w:bookmarkStart w:id="3" w:name="_Hlk82286844"/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高山鱼稻</w:t>
            </w:r>
            <w:bookmarkEnd w:id="3"/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”和“中国·三江高山稻鱼”绿色生态品牌，在全国推销生态农业产品，实现电子商务推广、物流配送订单为主的营销模式，助推农户增收致富和三江县经济发展。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项目资金支付执行资金管理办法和财务管理制度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，专款专用，无违规使用项目资金，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成本控制在预算内。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</w:trPr>
        <w:tc>
          <w:tcPr>
            <w:tcW w:w="185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主要问题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contextualSpacing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主要是内部管理制度方面的问题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三江县供销合作社联合社项目资金支付执行的是《三江县供销社财务资金管理办法》和《三江县供销社财务管理制度》，两项制度是2014年3月制定的，有些条款与供销合作社联合社当前的工作职责已不相适应，制度的内容也不完整，如财务资金管理办法缺乏项目资金专款专用、专项核算、信息公开、绩效评价、监督检查等方面内容，财务管理制度没有制定审批权限或审批流程和报账流程等。2019年7月重新建立完善并印发的《2020年内部控制制度与流程》注明“项目建设管理制度本单位不适用”，而作为独立法人和经济独立核算的单位，内部控制制度不应缺失项目建设管理制度方面的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5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整改建议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完善制度建设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根据单位实际重新完善单位内部控制制度，包括项目管理制度和资金管理制度，使制度内容完整，对经济活动的风险具有防控性和管控性，保障资金使用的安全。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.加强预算项目绩效管理</w:t>
            </w:r>
            <w:r>
              <w:rPr>
                <w:rFonts w:hint="eastAsia" w:asciiTheme="minorEastAsia" w:hAnsi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加强预算绩效管理专业知识的学习，提升绩效评价业务技能，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科学设定项目绩效目标，使绩效目标设定符合客观实际，具有可实现性、可考核性、时效性；项目单位应运用绩效评价结果作为下一年度预算项目安排、领导决策的参考，充分发挥财政资金的使用效益。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85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评价机构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rPr>
                <w:rFonts w:ascii="仿宋" w:hAnsi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</w:rPr>
              <w:t>南宁鉴达会计服务有限公司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right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ascii="黑体" w:hAnsi="黑体" w:eastAsia="黑体"/>
          <w:sz w:val="44"/>
          <w:szCs w:val="44"/>
        </w:rPr>
      </w:pPr>
    </w:p>
    <w:sectPr>
      <w:pgSz w:w="11906" w:h="16838"/>
      <w:pgMar w:top="1418" w:right="1134" w:bottom="130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C2"/>
    <w:rsid w:val="000220CD"/>
    <w:rsid w:val="00046A55"/>
    <w:rsid w:val="000576D6"/>
    <w:rsid w:val="00172725"/>
    <w:rsid w:val="001F5E8F"/>
    <w:rsid w:val="00380E0F"/>
    <w:rsid w:val="00542377"/>
    <w:rsid w:val="0065068C"/>
    <w:rsid w:val="006D5161"/>
    <w:rsid w:val="00717250"/>
    <w:rsid w:val="00754BC2"/>
    <w:rsid w:val="007679A1"/>
    <w:rsid w:val="007A0DDE"/>
    <w:rsid w:val="00935F4E"/>
    <w:rsid w:val="00A81566"/>
    <w:rsid w:val="00B41632"/>
    <w:rsid w:val="00B70CB7"/>
    <w:rsid w:val="00D044B8"/>
    <w:rsid w:val="00ED68D4"/>
    <w:rsid w:val="04B16009"/>
    <w:rsid w:val="09C857C4"/>
    <w:rsid w:val="0B306B3E"/>
    <w:rsid w:val="12E24CDE"/>
    <w:rsid w:val="297E6AFC"/>
    <w:rsid w:val="2BD0798B"/>
    <w:rsid w:val="3554314A"/>
    <w:rsid w:val="3DC32CB9"/>
    <w:rsid w:val="4FE74E9D"/>
    <w:rsid w:val="585D434A"/>
    <w:rsid w:val="5CAA6EB2"/>
    <w:rsid w:val="5E2A5D60"/>
    <w:rsid w:val="73134FCC"/>
    <w:rsid w:val="7565371B"/>
    <w:rsid w:val="79AD692F"/>
    <w:rsid w:val="7BB8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9">
    <w:name w:val="页眉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273</Words>
  <Characters>1561</Characters>
  <Lines>13</Lines>
  <Paragraphs>3</Paragraphs>
  <TotalTime>1</TotalTime>
  <ScaleCrop>false</ScaleCrop>
  <LinksUpToDate>false</LinksUpToDate>
  <CharactersWithSpaces>1831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2020-12-15T15:44:00Z</dcterms:created>
  <dc:creator>pan</dc:creator>
  <cp:lastModifiedBy>Administrator</cp:lastModifiedBy>
  <dcterms:modified xsi:type="dcterms:W3CDTF">2021-10-22T05:21:29Z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5B875F94A3204269A116DBD63B806814</vt:lpwstr>
  </property>
</Properties>
</file>