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2"/>
          <w:szCs w:val="32"/>
        </w:rPr>
      </w:pPr>
      <w:r>
        <w:rPr>
          <w:rFonts w:hint="eastAsia" w:ascii="黑体" w:hAnsi="黑体" w:eastAsia="黑体"/>
          <w:sz w:val="32"/>
          <w:szCs w:val="32"/>
        </w:rPr>
        <w:t>2021年三江侗族自治县</w:t>
      </w:r>
      <w:r>
        <w:rPr>
          <w:rFonts w:hint="eastAsia" w:ascii="黑体" w:hAnsi="黑体" w:eastAsia="黑体"/>
          <w:sz w:val="32"/>
          <w:szCs w:val="32"/>
          <w:lang w:val="en-US" w:eastAsia="zh-CN"/>
        </w:rPr>
        <w:t>财政预算</w:t>
      </w:r>
      <w:r>
        <w:rPr>
          <w:rFonts w:hint="eastAsia" w:ascii="黑体" w:hAnsi="黑体" w:eastAsia="黑体" w:cs="黑体"/>
          <w:bCs/>
          <w:sz w:val="32"/>
          <w:szCs w:val="32"/>
        </w:rPr>
        <w:t>项目</w:t>
      </w:r>
      <w:r>
        <w:rPr>
          <w:rFonts w:hint="eastAsia" w:ascii="黑体" w:hAnsi="黑体" w:eastAsia="黑体"/>
          <w:sz w:val="32"/>
          <w:szCs w:val="32"/>
        </w:rPr>
        <w:t>支出绩效再评价结果</w:t>
      </w:r>
    </w:p>
    <w:tbl>
      <w:tblPr>
        <w:tblStyle w:val="9"/>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56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p>
        </w:tc>
        <w:tc>
          <w:tcPr>
            <w:tcW w:w="7796" w:type="dxa"/>
            <w:shd w:val="clear" w:color="auto" w:fill="auto"/>
            <w:vAlign w:val="center"/>
          </w:tcPr>
          <w:p>
            <w:pPr>
              <w:widowControl/>
              <w:spacing w:line="560" w:lineRule="exact"/>
              <w:jc w:val="center"/>
              <w:rPr>
                <w:rFonts w:asciiTheme="minorEastAsia" w:hAnsiTheme="minorEastAsia" w:cstheme="minorEastAsia"/>
                <w:kern w:val="0"/>
                <w:sz w:val="24"/>
                <w:szCs w:val="24"/>
              </w:rPr>
            </w:pPr>
            <w:bookmarkStart w:id="0" w:name="_Hlk113650213"/>
            <w:r>
              <w:rPr>
                <w:rFonts w:hint="eastAsia" w:cs="仿宋_GB2312" w:asciiTheme="minorEastAsia" w:hAnsiTheme="minorEastAsia"/>
                <w:sz w:val="24"/>
                <w:szCs w:val="24"/>
              </w:rPr>
              <w:t>县本级农产品和食品安全抽检工作经费</w:t>
            </w:r>
            <w:bookmarkEnd w:id="0"/>
            <w:r>
              <w:rPr>
                <w:rFonts w:hint="eastAsia" w:cs="仿宋_GB2312" w:asciiTheme="minorEastAsia" w:hAnsiTheme="minorEastAsia"/>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w:t>
            </w:r>
          </w:p>
        </w:tc>
        <w:tc>
          <w:tcPr>
            <w:tcW w:w="7796" w:type="dxa"/>
            <w:shd w:val="clear" w:color="auto" w:fill="auto"/>
            <w:vAlign w:val="center"/>
          </w:tcPr>
          <w:p>
            <w:pPr>
              <w:widowControl/>
              <w:spacing w:line="560" w:lineRule="exact"/>
              <w:jc w:val="center"/>
              <w:rPr>
                <w:rFonts w:asciiTheme="minorEastAsia" w:hAnsiTheme="minorEastAsia" w:cstheme="minorEastAsia"/>
                <w:color w:val="000000"/>
                <w:kern w:val="0"/>
                <w:sz w:val="24"/>
                <w:szCs w:val="24"/>
              </w:rPr>
            </w:pPr>
            <w:r>
              <w:rPr>
                <w:rFonts w:asciiTheme="minorEastAsia" w:hAnsiTheme="minorEastAsia" w:cstheme="minorEastAsia"/>
                <w:bCs/>
                <w:sz w:val="24"/>
                <w:szCs w:val="24"/>
              </w:rPr>
              <w:t>54.8</w:t>
            </w:r>
            <w:r>
              <w:rPr>
                <w:rFonts w:hint="eastAsia" w:asciiTheme="minorEastAsia" w:hAnsiTheme="minorEastAsia" w:cs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vAlign w:val="center"/>
          </w:tcPr>
          <w:p>
            <w:pPr>
              <w:widowControl/>
              <w:spacing w:line="560" w:lineRule="exact"/>
              <w:jc w:val="center"/>
              <w:rPr>
                <w:rFonts w:asciiTheme="minorEastAsia" w:hAnsiTheme="minorEastAsia" w:cstheme="minorEastAsia"/>
                <w:color w:val="000000"/>
                <w:kern w:val="0"/>
                <w:sz w:val="24"/>
                <w:szCs w:val="24"/>
              </w:rPr>
            </w:pPr>
            <w:r>
              <w:rPr>
                <w:rFonts w:hint="eastAsia" w:asciiTheme="minorEastAsia" w:hAnsiTheme="minorEastAsia" w:cstheme="minorEastAsia"/>
                <w:sz w:val="24"/>
                <w:szCs w:val="24"/>
              </w:rPr>
              <w:t>三江侗族自治县市场监督管理局</w:t>
            </w: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vAlign w:val="center"/>
          </w:tcPr>
          <w:p>
            <w:pPr>
              <w:widowControl/>
              <w:spacing w:line="560" w:lineRule="exact"/>
              <w:jc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得分：</w:t>
            </w:r>
            <w:r>
              <w:rPr>
                <w:rFonts w:asciiTheme="minorEastAsia" w:hAnsiTheme="minorEastAsia" w:cstheme="minorEastAsia"/>
                <w:color w:val="000000"/>
                <w:kern w:val="0"/>
                <w:sz w:val="24"/>
                <w:szCs w:val="24"/>
              </w:rPr>
              <w:t>85.8</w:t>
            </w:r>
            <w:r>
              <w:rPr>
                <w:rFonts w:hint="eastAsia" w:asciiTheme="minorEastAsia" w:hAnsiTheme="minorEastAsia" w:cstheme="minorEastAsia"/>
                <w:bCs/>
                <w:sz w:val="24"/>
                <w:szCs w:val="24"/>
              </w:rPr>
              <w:t xml:space="preserve">分  </w:t>
            </w:r>
            <w:r>
              <w:rPr>
                <w:rFonts w:hint="eastAsia" w:asciiTheme="minorEastAsia" w:hAnsiTheme="minorEastAsia" w:cstheme="minorEastAsia"/>
                <w:color w:val="000000"/>
                <w:kern w:val="0"/>
                <w:sz w:val="24"/>
                <w:szCs w:val="24"/>
              </w:rPr>
              <w:t>评价等级：良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858" w:type="dxa"/>
            <w:shd w:val="clear" w:color="auto" w:fill="auto"/>
            <w:vAlign w:val="center"/>
          </w:tcPr>
          <w:p>
            <w:pPr>
              <w:widowControl/>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vAlign w:val="center"/>
          </w:tcPr>
          <w:p>
            <w:pPr>
              <w:spacing w:line="56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sz w:val="24"/>
                <w:szCs w:val="24"/>
              </w:rPr>
              <w:t>投入指标，较好完成绩效目标，县本级农产品和食品安全抽检工作经费是三江县财政批复的部门预算项目，与项目单位工作职责相符，设定的绩效目标与项目内容相吻合，绩效指标清晰、细化、可衡量。过程指标，</w:t>
            </w:r>
            <w:bookmarkStart w:id="1" w:name="_Hlk112749575"/>
            <w:r>
              <w:rPr>
                <w:rFonts w:hint="eastAsia" w:asciiTheme="minorEastAsia" w:hAnsiTheme="minorEastAsia" w:cstheme="minorEastAsia"/>
                <w:sz w:val="24"/>
                <w:szCs w:val="24"/>
              </w:rPr>
              <w:t>项目</w:t>
            </w:r>
            <w:bookmarkEnd w:id="1"/>
            <w:r>
              <w:rPr>
                <w:rFonts w:hint="eastAsia" w:asciiTheme="minorEastAsia" w:hAnsiTheme="minorEastAsia" w:cstheme="minorEastAsia"/>
                <w:sz w:val="24"/>
                <w:szCs w:val="24"/>
              </w:rPr>
              <w:t>实施内容具体明确，资金到位，资金支付履行审批程序和手续，无违规使用资金，项目管理制度和资金管理制度较为健全，但需进一步加强项目实施管理，尽快完成资金支付。产出指标，项目按计划任务量完成，质量达到设定的标准，成本控制在预算范围，4个分标有3个分标按时完成，有1个分标（生产小作坊食品安全监督抽检）未按时完成。效果指标，基本达到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trPr>
        <w:tc>
          <w:tcPr>
            <w:tcW w:w="1858" w:type="dxa"/>
            <w:shd w:val="clear" w:color="auto" w:fill="auto"/>
            <w:vAlign w:val="center"/>
          </w:tcPr>
          <w:p>
            <w:pPr>
              <w:widowControl/>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vAlign w:val="center"/>
          </w:tcPr>
          <w:p>
            <w:pPr>
              <w:spacing w:line="560" w:lineRule="exact"/>
              <w:ind w:firstLine="482" w:firstLineChars="200"/>
              <w:rPr>
                <w:rFonts w:asciiTheme="minorEastAsia" w:hAnsiTheme="minorEastAsia" w:cstheme="minorEastAsia"/>
                <w:sz w:val="24"/>
                <w:szCs w:val="24"/>
              </w:rPr>
            </w:pPr>
            <w:r>
              <w:rPr>
                <w:rFonts w:asciiTheme="minorEastAsia" w:hAnsiTheme="minorEastAsia" w:cstheme="minorEastAsia"/>
                <w:b/>
                <w:bCs/>
                <w:sz w:val="24"/>
                <w:szCs w:val="24"/>
              </w:rPr>
              <w:t>1.</w:t>
            </w:r>
            <w:r>
              <w:rPr>
                <w:rFonts w:hint="eastAsia" w:asciiTheme="minorEastAsia" w:hAnsiTheme="minorEastAsia" w:cstheme="minorEastAsia"/>
                <w:b/>
                <w:bCs/>
                <w:sz w:val="24"/>
                <w:szCs w:val="24"/>
              </w:rPr>
              <w:t>项目绩效</w:t>
            </w:r>
            <w:bookmarkStart w:id="2" w:name="_Hlk112691855"/>
            <w:r>
              <w:rPr>
                <w:rFonts w:hint="eastAsia" w:asciiTheme="minorEastAsia" w:hAnsiTheme="minorEastAsia" w:cstheme="minorEastAsia"/>
                <w:b/>
                <w:bCs/>
                <w:sz w:val="24"/>
                <w:szCs w:val="24"/>
                <w:lang w:eastAsia="zh-CN"/>
              </w:rPr>
              <w:t>。</w:t>
            </w:r>
            <w:r>
              <w:rPr>
                <w:rFonts w:hint="eastAsia" w:asciiTheme="minorEastAsia" w:hAnsiTheme="minorEastAsia" w:cstheme="minorEastAsia"/>
                <w:sz w:val="24"/>
                <w:szCs w:val="24"/>
              </w:rPr>
              <w:t>2</w:t>
            </w:r>
            <w:r>
              <w:rPr>
                <w:rFonts w:asciiTheme="minorEastAsia" w:hAnsiTheme="minorEastAsia" w:cstheme="minorEastAsia"/>
                <w:sz w:val="24"/>
                <w:szCs w:val="24"/>
              </w:rPr>
              <w:t>021</w:t>
            </w:r>
            <w:r>
              <w:rPr>
                <w:rFonts w:hint="eastAsia" w:asciiTheme="minorEastAsia" w:hAnsiTheme="minorEastAsia" w:cstheme="minorEastAsia"/>
                <w:sz w:val="24"/>
                <w:szCs w:val="24"/>
              </w:rPr>
              <w:t>年农产品和食品抽检量达到4批次/千人，完成抽检任务6</w:t>
            </w:r>
            <w:r>
              <w:rPr>
                <w:rFonts w:asciiTheme="minorEastAsia" w:hAnsiTheme="minorEastAsia" w:cstheme="minorEastAsia"/>
                <w:sz w:val="24"/>
                <w:szCs w:val="24"/>
              </w:rPr>
              <w:t>46</w:t>
            </w:r>
            <w:r>
              <w:rPr>
                <w:rFonts w:hint="eastAsia" w:asciiTheme="minorEastAsia" w:hAnsiTheme="minorEastAsia" w:cstheme="minorEastAsia"/>
                <w:sz w:val="24"/>
                <w:szCs w:val="24"/>
              </w:rPr>
              <w:t>批次以上，实现农产品和食品抽检不合格率不低于4%，排查和化解群众普遍关心的农产品和食品安全风险隐患，保障农产品和食品安全。</w:t>
            </w:r>
            <w:bookmarkEnd w:id="2"/>
          </w:p>
          <w:p>
            <w:pPr>
              <w:spacing w:line="560" w:lineRule="exact"/>
              <w:ind w:firstLine="482" w:firstLineChars="200"/>
              <w:rPr>
                <w:rFonts w:cs="仿宋_GB2312" w:asciiTheme="minorEastAsia" w:hAnsiTheme="minorEastAsia"/>
                <w:sz w:val="24"/>
                <w:szCs w:val="24"/>
                <w:highlight w:val="yellow"/>
                <w:shd w:val="clear" w:color="auto" w:fill="FFFFFF"/>
              </w:rPr>
            </w:pPr>
            <w:r>
              <w:rPr>
                <w:rFonts w:asciiTheme="minorEastAsia" w:hAnsiTheme="minorEastAsia" w:cstheme="minorEastAsia"/>
                <w:b/>
                <w:bCs/>
                <w:sz w:val="24"/>
                <w:szCs w:val="24"/>
              </w:rPr>
              <w:t>2.</w:t>
            </w:r>
            <w:r>
              <w:rPr>
                <w:rFonts w:hint="eastAsia" w:asciiTheme="minorEastAsia" w:hAnsiTheme="minorEastAsia" w:cstheme="minorEastAsia"/>
                <w:b/>
                <w:bCs/>
                <w:sz w:val="24"/>
                <w:szCs w:val="24"/>
              </w:rPr>
              <w:t>资金使用</w:t>
            </w:r>
            <w:r>
              <w:rPr>
                <w:rFonts w:hint="eastAsia" w:asciiTheme="minorEastAsia" w:hAnsiTheme="minorEastAsia" w:cstheme="minorEastAsia"/>
                <w:b/>
                <w:bCs/>
                <w:sz w:val="24"/>
                <w:szCs w:val="24"/>
                <w:lang w:eastAsia="zh-CN"/>
              </w:rPr>
              <w:t>。</w:t>
            </w:r>
            <w:r>
              <w:rPr>
                <w:rFonts w:hint="eastAsia" w:asciiTheme="minorEastAsia" w:hAnsiTheme="minorEastAsia" w:cstheme="minorEastAsia"/>
                <w:sz w:val="24"/>
                <w:szCs w:val="24"/>
              </w:rPr>
              <w:t>预算安排项目资金</w:t>
            </w:r>
            <w:r>
              <w:rPr>
                <w:rFonts w:asciiTheme="minorEastAsia" w:hAnsiTheme="minorEastAsia" w:cstheme="minorEastAsia"/>
                <w:sz w:val="24"/>
                <w:szCs w:val="24"/>
              </w:rPr>
              <w:t>54.8</w:t>
            </w:r>
            <w:r>
              <w:rPr>
                <w:rFonts w:hint="eastAsia" w:asciiTheme="minorEastAsia" w:hAnsiTheme="minorEastAsia" w:cstheme="minorEastAsia"/>
                <w:sz w:val="24"/>
                <w:szCs w:val="24"/>
              </w:rPr>
              <w:t>万元，实际到位资金</w:t>
            </w:r>
            <w:r>
              <w:rPr>
                <w:rFonts w:asciiTheme="minorEastAsia" w:hAnsiTheme="minorEastAsia" w:cstheme="minorEastAsia"/>
                <w:sz w:val="24"/>
                <w:szCs w:val="24"/>
              </w:rPr>
              <w:t>54.8</w:t>
            </w:r>
            <w:r>
              <w:rPr>
                <w:rFonts w:hint="eastAsia" w:asciiTheme="minorEastAsia" w:hAnsiTheme="minorEastAsia" w:cstheme="minorEastAsia"/>
                <w:sz w:val="24"/>
                <w:szCs w:val="24"/>
              </w:rPr>
              <w:t>万元，资金到位率1</w:t>
            </w:r>
            <w:r>
              <w:rPr>
                <w:rFonts w:asciiTheme="minorEastAsia" w:hAnsiTheme="minorEastAsia" w:cstheme="minorEastAsia"/>
                <w:sz w:val="24"/>
                <w:szCs w:val="24"/>
              </w:rPr>
              <w:t>00%</w:t>
            </w:r>
            <w:r>
              <w:rPr>
                <w:rFonts w:hint="eastAsia" w:asciiTheme="minorEastAsia" w:hAnsiTheme="minorEastAsia" w:cstheme="minorEastAsia"/>
                <w:sz w:val="24"/>
                <w:szCs w:val="24"/>
              </w:rPr>
              <w:t>，2</w:t>
            </w:r>
            <w:r>
              <w:rPr>
                <w:rFonts w:asciiTheme="minorEastAsia" w:hAnsiTheme="minorEastAsia" w:cstheme="minorEastAsia"/>
                <w:sz w:val="24"/>
                <w:szCs w:val="24"/>
              </w:rPr>
              <w:t>021</w:t>
            </w:r>
            <w:r>
              <w:rPr>
                <w:rFonts w:hint="eastAsia" w:asciiTheme="minorEastAsia" w:hAnsiTheme="minorEastAsia" w:cstheme="minorEastAsia"/>
                <w:sz w:val="24"/>
                <w:szCs w:val="24"/>
              </w:rPr>
              <w:t>年项目资金未使用。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858" w:type="dxa"/>
            <w:shd w:val="clear" w:color="auto" w:fill="auto"/>
            <w:vAlign w:val="center"/>
          </w:tcPr>
          <w:p>
            <w:pPr>
              <w:widowControl/>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vAlign w:val="center"/>
          </w:tcPr>
          <w:p>
            <w:pPr>
              <w:spacing w:line="560" w:lineRule="exact"/>
              <w:ind w:firstLine="480" w:firstLineChars="200"/>
              <w:contextualSpacing/>
              <w:rPr>
                <w:rFonts w:asciiTheme="minorEastAsia" w:hAnsiTheme="minorEastAsia" w:cstheme="minorEastAsia"/>
                <w:sz w:val="24"/>
                <w:szCs w:val="24"/>
              </w:rPr>
            </w:pPr>
            <w:bookmarkStart w:id="3" w:name="_Toc22951"/>
            <w:bookmarkStart w:id="4" w:name="_Toc3626"/>
            <w:bookmarkStart w:id="5" w:name="_Toc14775"/>
            <w:r>
              <w:rPr>
                <w:rFonts w:asciiTheme="minorEastAsia" w:hAnsiTheme="minorEastAsia" w:cstheme="minorEastAsia"/>
                <w:sz w:val="24"/>
                <w:szCs w:val="24"/>
              </w:rPr>
              <w:t>1.</w:t>
            </w:r>
            <w:r>
              <w:rPr>
                <w:rFonts w:hint="eastAsia" w:asciiTheme="minorEastAsia" w:hAnsiTheme="minorEastAsia" w:cstheme="minorEastAsia"/>
                <w:sz w:val="24"/>
                <w:szCs w:val="24"/>
              </w:rPr>
              <w:t>项目单位制定《2</w:t>
            </w:r>
            <w:r>
              <w:rPr>
                <w:rFonts w:asciiTheme="minorEastAsia" w:hAnsiTheme="minorEastAsia" w:cstheme="minorEastAsia"/>
                <w:sz w:val="24"/>
                <w:szCs w:val="24"/>
              </w:rPr>
              <w:t>021</w:t>
            </w:r>
            <w:r>
              <w:rPr>
                <w:rFonts w:hint="eastAsia" w:asciiTheme="minorEastAsia" w:hAnsiTheme="minorEastAsia" w:cstheme="minorEastAsia"/>
                <w:sz w:val="24"/>
                <w:szCs w:val="24"/>
              </w:rPr>
              <w:t>年三江县市场监管系统县本级食品安全监督抽检工作实施方案》、《三江县市场监督管理局食品安全抽样检验管理制度》和《三江县202</w:t>
            </w:r>
            <w:r>
              <w:rPr>
                <w:rFonts w:asciiTheme="minorEastAsia" w:hAnsiTheme="minorEastAsia" w:cstheme="minorEastAsia"/>
                <w:sz w:val="24"/>
                <w:szCs w:val="24"/>
              </w:rPr>
              <w:t>1</w:t>
            </w:r>
            <w:r>
              <w:rPr>
                <w:rFonts w:hint="eastAsia" w:asciiTheme="minorEastAsia" w:hAnsiTheme="minorEastAsia" w:cstheme="minorEastAsia"/>
                <w:sz w:val="24"/>
                <w:szCs w:val="24"/>
              </w:rPr>
              <w:t>年度食品安全监管工作方案》等，有效推进本年度食品安全监管抽检工作的开展。</w:t>
            </w:r>
          </w:p>
          <w:p>
            <w:pPr>
              <w:spacing w:line="560" w:lineRule="exact"/>
              <w:ind w:firstLine="480" w:firstLineChars="200"/>
              <w:contextualSpacing/>
              <w:rPr>
                <w:rFonts w:asciiTheme="minorEastAsia" w:hAnsiTheme="minorEastAsia" w:cstheme="minorEastAsia"/>
                <w:sz w:val="24"/>
                <w:szCs w:val="24"/>
              </w:rPr>
            </w:pPr>
            <w:r>
              <w:rPr>
                <w:rFonts w:asciiTheme="minorEastAsia" w:hAnsiTheme="minorEastAsia" w:cstheme="minorEastAsia"/>
                <w:sz w:val="24"/>
                <w:szCs w:val="24"/>
              </w:rPr>
              <w:t>2.</w:t>
            </w:r>
            <w:r>
              <w:rPr>
                <w:rFonts w:hint="eastAsia" w:asciiTheme="minorEastAsia" w:hAnsiTheme="minorEastAsia" w:cstheme="minorEastAsia"/>
                <w:sz w:val="24"/>
                <w:szCs w:val="24"/>
              </w:rPr>
              <w:t>项目指定分管领导、业务部门组织实施，指定专管人员对接承检机构开展农产品和食品监督抽检工作，特别是对小作坊高风险食品进行重点专项整治，严查乱用食品添加剂问题，及时公布抽检不合格产品结果和核查处置信息。</w:t>
            </w:r>
          </w:p>
          <w:p>
            <w:pPr>
              <w:spacing w:line="560" w:lineRule="exact"/>
              <w:ind w:firstLine="480" w:firstLineChars="200"/>
              <w:contextualSpacing/>
              <w:rPr>
                <w:rFonts w:asciiTheme="minorEastAsia" w:hAnsiTheme="minorEastAsia" w:cstheme="minorEastAsia"/>
                <w:sz w:val="24"/>
                <w:szCs w:val="24"/>
              </w:rPr>
            </w:pPr>
            <w:r>
              <w:rPr>
                <w:rFonts w:asciiTheme="minorEastAsia" w:hAnsiTheme="minorEastAsia" w:cstheme="minorEastAsia"/>
                <w:sz w:val="24"/>
                <w:szCs w:val="24"/>
              </w:rPr>
              <w:t>4.</w:t>
            </w:r>
            <w:r>
              <w:rPr>
                <w:rFonts w:hint="eastAsia" w:asciiTheme="minorEastAsia" w:hAnsiTheme="minorEastAsia" w:cstheme="minorEastAsia"/>
                <w:sz w:val="24"/>
                <w:szCs w:val="24"/>
              </w:rPr>
              <w:t>项目通过公开招标选定承检机构，签订服务合同，确保完成农产品和食品抽检任务，达到预期效果。</w:t>
            </w:r>
          </w:p>
          <w:p>
            <w:pPr>
              <w:spacing w:line="560" w:lineRule="exact"/>
              <w:ind w:firstLine="480" w:firstLineChars="200"/>
              <w:rPr>
                <w:rFonts w:asciiTheme="minorEastAsia" w:hAnsiTheme="minorEastAsia" w:cstheme="minorEastAsia"/>
                <w:sz w:val="24"/>
                <w:szCs w:val="24"/>
              </w:rPr>
            </w:pPr>
            <w:r>
              <w:rPr>
                <w:rFonts w:asciiTheme="minorEastAsia" w:hAnsiTheme="minorEastAsia" w:cstheme="minorEastAsia"/>
                <w:sz w:val="24"/>
                <w:szCs w:val="24"/>
              </w:rPr>
              <w:t>5.</w:t>
            </w:r>
            <w:r>
              <w:rPr>
                <w:rFonts w:hint="eastAsia" w:asciiTheme="minorEastAsia" w:hAnsiTheme="minorEastAsia" w:cstheme="minorEastAsia"/>
                <w:sz w:val="24"/>
                <w:szCs w:val="24"/>
              </w:rPr>
              <w:t>项目资金专款专用，项目支付按照预算批复执行，无超范围、超标准使用资金，成本控制在预算范围内。</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58" w:type="dxa"/>
            <w:shd w:val="clear" w:color="auto" w:fill="auto"/>
            <w:vAlign w:val="center"/>
          </w:tcPr>
          <w:p>
            <w:pPr>
              <w:widowControl/>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vAlign w:val="center"/>
          </w:tcPr>
          <w:p>
            <w:pPr>
              <w:pStyle w:val="6"/>
              <w:spacing w:before="0" w:beforeAutospacing="0" w:after="0" w:afterAutospacing="0"/>
              <w:ind w:firstLine="480"/>
              <w:rPr>
                <w:rFonts w:asciiTheme="minorEastAsia" w:hAnsiTheme="minorEastAsia" w:eastAsiaTheme="minorEastAsia" w:cstheme="minorEastAsia"/>
                <w:kern w:val="2"/>
              </w:rPr>
            </w:pPr>
            <w:bookmarkStart w:id="6" w:name="_Hlk113176462"/>
            <w:r>
              <w:rPr>
                <w:rFonts w:hint="eastAsia" w:asciiTheme="minorEastAsia" w:hAnsiTheme="minorEastAsia" w:eastAsiaTheme="minorEastAsia" w:cstheme="minorEastAsia"/>
                <w:kern w:val="2"/>
              </w:rPr>
              <w:t>1.项目实施方面。</w:t>
            </w:r>
            <w:bookmarkEnd w:id="6"/>
            <w:bookmarkStart w:id="7" w:name="_Hlk112861128"/>
            <w:r>
              <w:rPr>
                <w:rFonts w:hint="eastAsia" w:asciiTheme="minorEastAsia" w:hAnsiTheme="minorEastAsia" w:eastAsiaTheme="minorEastAsia" w:cstheme="minorEastAsia"/>
                <w:kern w:val="2"/>
              </w:rPr>
              <w:t>一是项目实施存在“先建后招”行为。2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年6月1日项目单位委托3家承检机构（供应商）开展农产品和食品</w:t>
            </w:r>
            <w:bookmarkStart w:id="8" w:name="_Hlk113053303"/>
            <w:r>
              <w:rPr>
                <w:rFonts w:hint="eastAsia" w:asciiTheme="minorEastAsia" w:hAnsiTheme="minorEastAsia" w:eastAsiaTheme="minorEastAsia" w:cstheme="minorEastAsia"/>
                <w:kern w:val="2"/>
              </w:rPr>
              <w:t>抽检检测服务</w:t>
            </w:r>
            <w:bookmarkEnd w:id="8"/>
            <w:r>
              <w:rPr>
                <w:rFonts w:hint="eastAsia" w:asciiTheme="minorEastAsia" w:hAnsiTheme="minorEastAsia" w:eastAsiaTheme="minorEastAsia" w:cstheme="minorEastAsia"/>
                <w:kern w:val="2"/>
              </w:rPr>
              <w:t>，2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年7月6日召开班子会议、2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年9月2</w:t>
            </w:r>
            <w:r>
              <w:rPr>
                <w:rFonts w:asciiTheme="minorEastAsia" w:hAnsiTheme="minorEastAsia" w:eastAsiaTheme="minorEastAsia" w:cstheme="minorEastAsia"/>
                <w:kern w:val="2"/>
              </w:rPr>
              <w:t>4</w:t>
            </w:r>
            <w:r>
              <w:rPr>
                <w:rFonts w:hint="eastAsia" w:asciiTheme="minorEastAsia" w:hAnsiTheme="minorEastAsia" w:eastAsiaTheme="minorEastAsia" w:cstheme="minorEastAsia"/>
                <w:kern w:val="2"/>
              </w:rPr>
              <w:t>完成公开招标、2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年1</w:t>
            </w:r>
            <w:r>
              <w:rPr>
                <w:rFonts w:asciiTheme="minorEastAsia" w:hAnsiTheme="minorEastAsia" w:eastAsiaTheme="minorEastAsia" w:cstheme="minorEastAsia"/>
                <w:kern w:val="2"/>
              </w:rPr>
              <w:t>0</w:t>
            </w:r>
            <w:r>
              <w:rPr>
                <w:rFonts w:hint="eastAsia" w:asciiTheme="minorEastAsia" w:hAnsiTheme="minorEastAsia" w:eastAsiaTheme="minorEastAsia" w:cstheme="minorEastAsia"/>
                <w:kern w:val="2"/>
              </w:rPr>
              <w:t>月2</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日签订合同，</w:t>
            </w:r>
            <w:bookmarkStart w:id="9" w:name="_Hlk112866945"/>
            <w:r>
              <w:rPr>
                <w:rFonts w:hint="eastAsia" w:asciiTheme="minorEastAsia" w:hAnsiTheme="minorEastAsia" w:eastAsiaTheme="minorEastAsia" w:cstheme="minorEastAsia"/>
                <w:kern w:val="2"/>
              </w:rPr>
              <w:t>不符合政府采购管理制度的</w:t>
            </w:r>
            <w:bookmarkEnd w:id="9"/>
            <w:r>
              <w:rPr>
                <w:rFonts w:hint="eastAsia" w:asciiTheme="minorEastAsia" w:hAnsiTheme="minorEastAsia" w:eastAsiaTheme="minorEastAsia" w:cstheme="minorEastAsia"/>
                <w:kern w:val="2"/>
              </w:rPr>
              <w:t>相关规定。</w:t>
            </w:r>
            <w:bookmarkStart w:id="10" w:name="_Hlk112861065"/>
            <w:r>
              <w:rPr>
                <w:rFonts w:hint="eastAsia" w:asciiTheme="minorEastAsia" w:hAnsiTheme="minorEastAsia" w:eastAsiaTheme="minorEastAsia" w:cstheme="minorEastAsia"/>
                <w:kern w:val="2"/>
              </w:rPr>
              <w:t>二是合同管理不够规范。供应商已于2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年6月开展抽检检测服务工作，但合同约定自签订合同之日起开始服务，服务期限与实际不相符；合同还约定乙方须在2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年1</w:t>
            </w:r>
            <w:r>
              <w:rPr>
                <w:rFonts w:asciiTheme="minorEastAsia" w:hAnsiTheme="minorEastAsia" w:eastAsiaTheme="minorEastAsia" w:cstheme="minorEastAsia"/>
                <w:kern w:val="2"/>
              </w:rPr>
              <w:t>0</w:t>
            </w:r>
            <w:r>
              <w:rPr>
                <w:rFonts w:hint="eastAsia" w:asciiTheme="minorEastAsia" w:hAnsiTheme="minorEastAsia" w:eastAsiaTheme="minorEastAsia" w:cstheme="minorEastAsia"/>
                <w:kern w:val="2"/>
              </w:rPr>
              <w:t>月3</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日前完成检验工作并将通过C</w:t>
            </w:r>
            <w:r>
              <w:rPr>
                <w:rFonts w:asciiTheme="minorEastAsia" w:hAnsiTheme="minorEastAsia" w:eastAsiaTheme="minorEastAsia" w:cstheme="minorEastAsia"/>
                <w:kern w:val="2"/>
              </w:rPr>
              <w:t>A</w:t>
            </w:r>
            <w:r>
              <w:rPr>
                <w:rFonts w:hint="eastAsia" w:asciiTheme="minorEastAsia" w:hAnsiTheme="minorEastAsia" w:eastAsiaTheme="minorEastAsia" w:cstheme="minorEastAsia"/>
                <w:kern w:val="2"/>
              </w:rPr>
              <w:t>认证、合法有效的《检验报告》寄送甲方，供应商不可能按合同约定在1</w:t>
            </w:r>
            <w:r>
              <w:rPr>
                <w:rFonts w:asciiTheme="minorEastAsia" w:hAnsiTheme="minorEastAsia" w:eastAsiaTheme="minorEastAsia" w:cstheme="minorEastAsia"/>
                <w:kern w:val="2"/>
              </w:rPr>
              <w:t>0</w:t>
            </w:r>
            <w:r>
              <w:rPr>
                <w:rFonts w:hint="eastAsia" w:asciiTheme="minorEastAsia" w:hAnsiTheme="minorEastAsia" w:eastAsiaTheme="minorEastAsia" w:cstheme="minorEastAsia"/>
                <w:kern w:val="2"/>
              </w:rPr>
              <w:t>天内完成6</w:t>
            </w:r>
            <w:r>
              <w:rPr>
                <w:rFonts w:asciiTheme="minorEastAsia" w:hAnsiTheme="minorEastAsia" w:eastAsiaTheme="minorEastAsia" w:cstheme="minorEastAsia"/>
                <w:kern w:val="2"/>
              </w:rPr>
              <w:t>80</w:t>
            </w:r>
            <w:r>
              <w:rPr>
                <w:rFonts w:hint="eastAsia" w:asciiTheme="minorEastAsia" w:hAnsiTheme="minorEastAsia" w:eastAsiaTheme="minorEastAsia" w:cstheme="minorEastAsia"/>
                <w:kern w:val="2"/>
              </w:rPr>
              <w:t>次农产品和食品抽检任务（2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年1</w:t>
            </w:r>
            <w:r>
              <w:rPr>
                <w:rFonts w:asciiTheme="minorEastAsia" w:hAnsiTheme="minorEastAsia" w:eastAsiaTheme="minorEastAsia" w:cstheme="minorEastAsia"/>
                <w:kern w:val="2"/>
              </w:rPr>
              <w:t>0</w:t>
            </w:r>
            <w:r>
              <w:rPr>
                <w:rFonts w:hint="eastAsia" w:asciiTheme="minorEastAsia" w:hAnsiTheme="minorEastAsia" w:eastAsiaTheme="minorEastAsia" w:cstheme="minorEastAsia"/>
                <w:kern w:val="2"/>
              </w:rPr>
              <w:t>月</w:t>
            </w:r>
            <w:r>
              <w:rPr>
                <w:rFonts w:asciiTheme="minorEastAsia" w:hAnsiTheme="minorEastAsia" w:eastAsiaTheme="minorEastAsia" w:cstheme="minorEastAsia"/>
                <w:kern w:val="2"/>
              </w:rPr>
              <w:t>21</w:t>
            </w:r>
            <w:r>
              <w:rPr>
                <w:rFonts w:hint="eastAsia" w:asciiTheme="minorEastAsia" w:hAnsiTheme="minorEastAsia" w:eastAsiaTheme="minorEastAsia" w:cstheme="minorEastAsia"/>
                <w:kern w:val="2"/>
              </w:rPr>
              <w:t>—3</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日），合同标的不符合实际；与广西益谱检测技术有限公司签订的合同（4分标）采购计划号、合同编号未填写，合同标的总价出现2个不同金额。这些问题不符合合同管理制度相关规定。三是未按合同约定时间（2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年1</w:t>
            </w:r>
            <w:r>
              <w:rPr>
                <w:rFonts w:asciiTheme="minorEastAsia" w:hAnsiTheme="minorEastAsia" w:eastAsiaTheme="minorEastAsia" w:cstheme="minorEastAsia"/>
                <w:kern w:val="2"/>
              </w:rPr>
              <w:t>0</w:t>
            </w:r>
            <w:r>
              <w:rPr>
                <w:rFonts w:hint="eastAsia" w:asciiTheme="minorEastAsia" w:hAnsiTheme="minorEastAsia" w:eastAsiaTheme="minorEastAsia" w:cstheme="minorEastAsia"/>
                <w:kern w:val="2"/>
              </w:rPr>
              <w:t>月3</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日前）交付《检验报告》，1分标《检验报告》完成送达时间为2</w:t>
            </w:r>
            <w:r>
              <w:rPr>
                <w:rFonts w:asciiTheme="minorEastAsia" w:hAnsiTheme="minorEastAsia" w:eastAsiaTheme="minorEastAsia" w:cstheme="minorEastAsia"/>
                <w:kern w:val="2"/>
              </w:rPr>
              <w:t>022</w:t>
            </w:r>
            <w:r>
              <w:rPr>
                <w:rFonts w:hint="eastAsia" w:asciiTheme="minorEastAsia" w:hAnsiTheme="minorEastAsia" w:eastAsiaTheme="minorEastAsia" w:cstheme="minorEastAsia"/>
                <w:kern w:val="2"/>
              </w:rPr>
              <w:t>年4月。四是“项目合同验收书”填写的验收日期为2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年1</w:t>
            </w:r>
            <w:r>
              <w:rPr>
                <w:rFonts w:asciiTheme="minorEastAsia" w:hAnsiTheme="minorEastAsia" w:eastAsiaTheme="minorEastAsia" w:cstheme="minorEastAsia"/>
                <w:kern w:val="2"/>
              </w:rPr>
              <w:t>0</w:t>
            </w:r>
            <w:r>
              <w:rPr>
                <w:rFonts w:hint="eastAsia" w:asciiTheme="minorEastAsia" w:hAnsiTheme="minorEastAsia" w:eastAsiaTheme="minorEastAsia" w:cstheme="minorEastAsia"/>
                <w:kern w:val="2"/>
              </w:rPr>
              <w:t>月3</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日，查阅供应商送达的4个分标《检验报告》，2、3、4分标检验结论签发时间为2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w:t>
            </w:r>
            <w:r>
              <w:rPr>
                <w:rFonts w:asciiTheme="minorEastAsia" w:hAnsiTheme="minorEastAsia" w:eastAsiaTheme="minorEastAsia" w:cstheme="minorEastAsia"/>
                <w:kern w:val="2"/>
              </w:rPr>
              <w:t>7</w:t>
            </w:r>
            <w:r>
              <w:rPr>
                <w:rFonts w:hint="eastAsia" w:asciiTheme="minorEastAsia" w:hAnsiTheme="minorEastAsia" w:eastAsiaTheme="minorEastAsia" w:cstheme="minorEastAsia"/>
                <w:kern w:val="2"/>
              </w:rPr>
              <w:t>月，1分标检验结论签发时间为2</w:t>
            </w:r>
            <w:r>
              <w:rPr>
                <w:rFonts w:asciiTheme="minorEastAsia" w:hAnsiTheme="minorEastAsia" w:eastAsiaTheme="minorEastAsia" w:cstheme="minorEastAsia"/>
                <w:kern w:val="2"/>
              </w:rPr>
              <w:t>022</w:t>
            </w:r>
            <w:r>
              <w:rPr>
                <w:rFonts w:hint="eastAsia" w:asciiTheme="minorEastAsia" w:hAnsiTheme="minorEastAsia" w:eastAsiaTheme="minorEastAsia" w:cstheme="minorEastAsia"/>
                <w:kern w:val="2"/>
              </w:rPr>
              <w:t>年4月，在1分标未完成抽检任务未送达《检验报告》的情况下组织验收，项目单位出具的“项目合同验收书”不具有真实。五是项目单位未按合同约定于2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年1</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月3</w:t>
            </w:r>
            <w:r>
              <w:rPr>
                <w:rFonts w:asciiTheme="minorEastAsia" w:hAnsiTheme="minorEastAsia" w:eastAsiaTheme="minorEastAsia" w:cstheme="minorEastAsia"/>
                <w:kern w:val="2"/>
              </w:rPr>
              <w:t>0</w:t>
            </w:r>
            <w:r>
              <w:rPr>
                <w:rFonts w:hint="eastAsia" w:asciiTheme="minorEastAsia" w:hAnsiTheme="minorEastAsia" w:eastAsiaTheme="minorEastAsia" w:cstheme="minorEastAsia"/>
                <w:kern w:val="2"/>
              </w:rPr>
              <w:t>日前将本次费用汇至承检方账户，截止2</w:t>
            </w:r>
            <w:r>
              <w:rPr>
                <w:rFonts w:asciiTheme="minorEastAsia" w:hAnsiTheme="minorEastAsia" w:eastAsiaTheme="minorEastAsia" w:cstheme="minorEastAsia"/>
                <w:kern w:val="2"/>
              </w:rPr>
              <w:t>022</w:t>
            </w:r>
            <w:r>
              <w:rPr>
                <w:rFonts w:hint="eastAsia" w:asciiTheme="minorEastAsia" w:hAnsiTheme="minorEastAsia" w:eastAsiaTheme="minorEastAsia" w:cstheme="minorEastAsia"/>
                <w:kern w:val="2"/>
              </w:rPr>
              <w:t>年7月3</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日款项未付。</w:t>
            </w:r>
          </w:p>
          <w:bookmarkEnd w:id="7"/>
          <w:bookmarkEnd w:id="10"/>
          <w:p>
            <w:pPr>
              <w:pStyle w:val="6"/>
              <w:spacing w:before="0" w:beforeAutospacing="0" w:after="0" w:afterAutospacing="0"/>
              <w:ind w:firstLine="480"/>
              <w:rPr>
                <w:rFonts w:asciiTheme="minorEastAsia" w:hAnsiTheme="minorEastAsia" w:eastAsiaTheme="minorEastAsia" w:cstheme="minorEastAsia"/>
                <w:kern w:val="2"/>
              </w:rPr>
            </w:pPr>
            <w:bookmarkStart w:id="11" w:name="_Hlk113177633"/>
            <w:r>
              <w:rPr>
                <w:rFonts w:hint="eastAsia" w:asciiTheme="minorEastAsia" w:hAnsiTheme="minorEastAsia" w:eastAsiaTheme="minorEastAsia" w:cstheme="minorEastAsia"/>
                <w:kern w:val="2"/>
              </w:rPr>
              <w:t>2</w:t>
            </w:r>
            <w:r>
              <w:rPr>
                <w:rFonts w:asciiTheme="minorEastAsia" w:hAnsiTheme="minorEastAsia" w:eastAsiaTheme="minorEastAsia" w:cstheme="minorEastAsia"/>
                <w:kern w:val="2"/>
              </w:rPr>
              <w:t>.</w:t>
            </w:r>
            <w:r>
              <w:rPr>
                <w:rFonts w:hint="eastAsia" w:asciiTheme="minorEastAsia" w:hAnsiTheme="minorEastAsia" w:eastAsiaTheme="minorEastAsia" w:cstheme="minorEastAsia"/>
                <w:kern w:val="2"/>
              </w:rPr>
              <w:t>项目支出方面。截止2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年1</w:t>
            </w:r>
            <w:r>
              <w:rPr>
                <w:rFonts w:asciiTheme="minorEastAsia" w:hAnsiTheme="minorEastAsia" w:eastAsiaTheme="minorEastAsia" w:cstheme="minorEastAsia"/>
                <w:kern w:val="2"/>
              </w:rPr>
              <w:t>2</w:t>
            </w:r>
            <w:r>
              <w:rPr>
                <w:rFonts w:hint="eastAsia" w:asciiTheme="minorEastAsia" w:hAnsiTheme="minorEastAsia" w:eastAsiaTheme="minorEastAsia" w:cstheme="minorEastAsia"/>
                <w:kern w:val="2"/>
              </w:rPr>
              <w:t>月3</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日项目资金零支付，预算支出进度达不到绩效目标设定的指标</w:t>
            </w:r>
            <w:bookmarkEnd w:id="11"/>
            <w:r>
              <w:rPr>
                <w:rFonts w:hint="eastAsia" w:asciiTheme="minorEastAsia" w:hAnsiTheme="minorEastAsia" w:eastAsiaTheme="minorEastAsia" w:cstheme="minorEastAsia"/>
                <w:kern w:val="2"/>
              </w:rPr>
              <w:t>，2</w:t>
            </w:r>
            <w:r>
              <w:rPr>
                <w:rFonts w:asciiTheme="minorEastAsia" w:hAnsiTheme="minorEastAsia" w:eastAsiaTheme="minorEastAsia" w:cstheme="minorEastAsia"/>
                <w:kern w:val="2"/>
              </w:rPr>
              <w:t>021</w:t>
            </w:r>
            <w:r>
              <w:rPr>
                <w:rFonts w:hint="eastAsia" w:asciiTheme="minorEastAsia" w:hAnsiTheme="minorEastAsia" w:eastAsiaTheme="minorEastAsia" w:cstheme="minorEastAsia"/>
                <w:kern w:val="2"/>
              </w:rPr>
              <w:t>年1</w:t>
            </w: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月项目单位已向财政申报支付，财政未审批。</w:t>
            </w:r>
          </w:p>
          <w:p>
            <w:pPr>
              <w:pStyle w:val="6"/>
              <w:spacing w:before="0" w:beforeAutospacing="0" w:after="0" w:afterAutospacing="0"/>
              <w:ind w:firstLine="480"/>
              <w:rPr>
                <w:rFonts w:asciiTheme="minorEastAsia" w:hAnsiTheme="minorEastAsia" w:eastAsiaTheme="minorEastAsia" w:cstheme="minorEastAsia"/>
                <w:kern w:val="2"/>
              </w:rPr>
            </w:pPr>
            <w:bookmarkStart w:id="12" w:name="_Hlk113177363"/>
            <w:r>
              <w:rPr>
                <w:rFonts w:hint="eastAsia" w:asciiTheme="minorEastAsia" w:hAnsiTheme="minorEastAsia" w:eastAsiaTheme="minorEastAsia" w:cstheme="minorEastAsia"/>
                <w:kern w:val="2"/>
              </w:rPr>
              <w:t>3</w:t>
            </w:r>
            <w:r>
              <w:rPr>
                <w:rFonts w:asciiTheme="minorEastAsia" w:hAnsiTheme="minorEastAsia" w:eastAsiaTheme="minorEastAsia" w:cstheme="minorEastAsia"/>
                <w:kern w:val="2"/>
              </w:rPr>
              <w:t>.</w:t>
            </w:r>
            <w:r>
              <w:rPr>
                <w:rFonts w:hint="eastAsia" w:asciiTheme="minorEastAsia" w:hAnsiTheme="minorEastAsia" w:eastAsiaTheme="minorEastAsia" w:cstheme="minorEastAsia"/>
                <w:kern w:val="2"/>
              </w:rPr>
              <w:t>制度管理方面。</w:t>
            </w:r>
            <w:bookmarkEnd w:id="12"/>
            <w:r>
              <w:rPr>
                <w:rFonts w:hint="eastAsia" w:asciiTheme="minorEastAsia" w:hAnsiTheme="minorEastAsia" w:eastAsiaTheme="minorEastAsia" w:cstheme="minorEastAsia"/>
                <w:kern w:val="2"/>
              </w:rPr>
              <w:t>制定的《三江县市场监督管理局食品安全抽样检验管理制度》，未印发文号行文下达，未有执行日期和落款日期。《政府采购内部控制制度》第二章第四条：“本单位采购工作小组，由主任担任组长，分管副主任担任副组长</w:t>
            </w:r>
            <w:r>
              <w:rPr>
                <w:rFonts w:asciiTheme="minorEastAsia" w:hAnsiTheme="minorEastAsia" w:eastAsiaTheme="minorEastAsia" w:cstheme="minorEastAsia"/>
                <w:kern w:val="2"/>
              </w:rPr>
              <w:t>……</w:t>
            </w:r>
            <w:r>
              <w:rPr>
                <w:rFonts w:hint="eastAsia" w:asciiTheme="minorEastAsia" w:hAnsiTheme="minorEastAsia" w:eastAsiaTheme="minorEastAsia" w:cstheme="minorEastAsia"/>
                <w:kern w:val="2"/>
              </w:rPr>
              <w:t>”，与市场监督管理局设置的机构不相符，单位行政领导应是局长、副局长，第四章二十条没有结合《广西政府集中采购目录及标准（2</w:t>
            </w:r>
            <w:r>
              <w:rPr>
                <w:rFonts w:asciiTheme="minorEastAsia" w:hAnsiTheme="minorEastAsia" w:eastAsiaTheme="minorEastAsia" w:cstheme="minorEastAsia"/>
                <w:kern w:val="2"/>
              </w:rPr>
              <w:t>020</w:t>
            </w:r>
            <w:r>
              <w:rPr>
                <w:rFonts w:hint="eastAsia" w:asciiTheme="minorEastAsia" w:hAnsiTheme="minorEastAsia" w:eastAsiaTheme="minorEastAsia" w:cstheme="minorEastAsia"/>
                <w:kern w:val="2"/>
              </w:rPr>
              <w:t>版）》有关数额标准制定。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858" w:type="dxa"/>
            <w:shd w:val="clear" w:color="auto" w:fill="auto"/>
            <w:vAlign w:val="center"/>
          </w:tcPr>
          <w:p>
            <w:pPr>
              <w:pStyle w:val="6"/>
              <w:spacing w:before="0" w:beforeAutospacing="0" w:after="0" w:afterAutospacing="0"/>
              <w:ind w:firstLine="0" w:firstLineChars="0"/>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整改建议</w:t>
            </w:r>
          </w:p>
        </w:tc>
        <w:tc>
          <w:tcPr>
            <w:tcW w:w="7796" w:type="dxa"/>
            <w:shd w:val="clear" w:color="auto" w:fill="auto"/>
            <w:vAlign w:val="center"/>
          </w:tcPr>
          <w:p>
            <w:pPr>
              <w:pStyle w:val="6"/>
              <w:spacing w:before="0" w:beforeAutospacing="0" w:after="0" w:afterAutospacing="0"/>
              <w:ind w:firstLine="480"/>
              <w:rPr>
                <w:rFonts w:asciiTheme="minorEastAsia" w:hAnsiTheme="minorEastAsia" w:eastAsiaTheme="minorEastAsia" w:cstheme="minorEastAsia"/>
                <w:kern w:val="2"/>
              </w:rPr>
            </w:pPr>
            <w:bookmarkStart w:id="13" w:name="_Hlk113178171"/>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.进一步加强项目建设管理。业务股室要规范项目建设管理，严格执行单位制定的《合同管理内部控制制度》、</w:t>
            </w:r>
            <w:bookmarkEnd w:id="13"/>
            <w:r>
              <w:rPr>
                <w:rFonts w:hint="eastAsia" w:asciiTheme="minorEastAsia" w:hAnsiTheme="minorEastAsia" w:eastAsiaTheme="minorEastAsia" w:cstheme="minorEastAsia"/>
                <w:kern w:val="2"/>
              </w:rPr>
              <w:t>《政府采购内部控制制度》和《局党组“三重一大”事项集体决策制度》，避免违规操作，程序流于形式。</w:t>
            </w:r>
          </w:p>
          <w:p>
            <w:pPr>
              <w:pStyle w:val="6"/>
              <w:spacing w:before="0" w:beforeAutospacing="0" w:after="0" w:afterAutospacing="0"/>
              <w:ind w:firstLine="48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w:t>
            </w:r>
            <w:r>
              <w:rPr>
                <w:rFonts w:asciiTheme="minorEastAsia" w:hAnsiTheme="minorEastAsia" w:eastAsiaTheme="minorEastAsia" w:cstheme="minorEastAsia"/>
                <w:kern w:val="2"/>
              </w:rPr>
              <w:t>.</w:t>
            </w:r>
            <w:bookmarkStart w:id="14" w:name="_Hlk113178959"/>
            <w:r>
              <w:rPr>
                <w:rFonts w:hint="eastAsia" w:asciiTheme="minorEastAsia" w:hAnsiTheme="minorEastAsia" w:eastAsiaTheme="minorEastAsia" w:cstheme="minorEastAsia"/>
                <w:kern w:val="2"/>
              </w:rPr>
              <w:t>进一步加快项目支出进度</w:t>
            </w:r>
            <w:bookmarkEnd w:id="14"/>
            <w:r>
              <w:rPr>
                <w:rFonts w:hint="eastAsia" w:asciiTheme="minorEastAsia" w:hAnsiTheme="minorEastAsia" w:eastAsiaTheme="minorEastAsia" w:cstheme="minorEastAsia"/>
                <w:kern w:val="2"/>
              </w:rPr>
              <w:t>。项目实施完成达到支付条件，业务部门及时向财政申报支付，尽快履行合同支付。</w:t>
            </w:r>
          </w:p>
          <w:p>
            <w:pPr>
              <w:pStyle w:val="6"/>
              <w:spacing w:before="0" w:beforeAutospacing="0" w:after="0" w:afterAutospacing="0"/>
              <w:ind w:firstLine="48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w:t>
            </w:r>
            <w:r>
              <w:rPr>
                <w:rFonts w:asciiTheme="minorEastAsia" w:hAnsiTheme="minorEastAsia" w:eastAsiaTheme="minorEastAsia" w:cstheme="minorEastAsia"/>
                <w:kern w:val="2"/>
              </w:rPr>
              <w:t>.</w:t>
            </w:r>
            <w:r>
              <w:rPr>
                <w:rFonts w:hint="eastAsia" w:asciiTheme="minorEastAsia" w:hAnsiTheme="minorEastAsia" w:eastAsiaTheme="minorEastAsia" w:cstheme="minorEastAsia"/>
                <w:kern w:val="2"/>
              </w:rPr>
              <w:t>进一步完善管理制度。重新完善《政府采购内部控制制度》，制定的管理制度要行文下达，且有落款日期，使制度具有执行力。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858" w:type="dxa"/>
            <w:shd w:val="clear" w:color="auto" w:fill="auto"/>
            <w:vAlign w:val="center"/>
          </w:tcPr>
          <w:p>
            <w:pPr>
              <w:widowControl/>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vAlign w:val="center"/>
          </w:tcPr>
          <w:p>
            <w:pPr>
              <w:widowControl/>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widowControl/>
              <w:spacing w:line="560" w:lineRule="exact"/>
              <w:ind w:firstLine="480" w:firstLineChars="200"/>
              <w:jc w:val="left"/>
              <w:rPr>
                <w:rFonts w:cs="宋体" w:asciiTheme="minorEastAsia" w:hAnsiTheme="minorEastAsia"/>
                <w:color w:val="000000"/>
                <w:kern w:val="0"/>
                <w:sz w:val="24"/>
                <w:szCs w:val="24"/>
              </w:rPr>
            </w:pPr>
            <w:r>
              <w:rPr>
                <w:rFonts w:hint="eastAsia" w:cs="仿宋" w:asciiTheme="minorEastAsia" w:hAnsiTheme="minorEastAsia"/>
                <w:sz w:val="24"/>
                <w:szCs w:val="24"/>
              </w:rPr>
              <w:t>南宁鉴达会计服务有限公司</w:t>
            </w:r>
          </w:p>
          <w:p>
            <w:pPr>
              <w:widowControl/>
              <w:spacing w:line="560" w:lineRule="exact"/>
              <w:ind w:firstLine="480" w:firstLineChars="200"/>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2022年</w:t>
            </w:r>
            <w:r>
              <w:rPr>
                <w:rFonts w:cs="宋体" w:asciiTheme="minorEastAsia" w:hAnsiTheme="minorEastAsia"/>
                <w:color w:val="000000"/>
                <w:kern w:val="0"/>
                <w:sz w:val="24"/>
                <w:szCs w:val="24"/>
              </w:rPr>
              <w:t>9</w:t>
            </w:r>
            <w:r>
              <w:rPr>
                <w:rFonts w:hint="eastAsia" w:cs="宋体" w:asciiTheme="minorEastAsia" w:hAnsiTheme="minorEastAsia"/>
                <w:color w:val="000000"/>
                <w:kern w:val="0"/>
                <w:sz w:val="24"/>
                <w:szCs w:val="24"/>
              </w:rPr>
              <w:t>月</w:t>
            </w:r>
            <w:r>
              <w:rPr>
                <w:rFonts w:cs="宋体" w:asciiTheme="minorEastAsia" w:hAnsiTheme="minorEastAsia"/>
                <w:color w:val="000000"/>
                <w:kern w:val="0"/>
                <w:sz w:val="24"/>
                <w:szCs w:val="24"/>
              </w:rPr>
              <w:t>30</w:t>
            </w:r>
            <w:r>
              <w:rPr>
                <w:rFonts w:hint="eastAsia" w:cs="宋体" w:asciiTheme="minorEastAsia" w:hAnsiTheme="minorEastAsia"/>
                <w:color w:val="000000"/>
                <w:kern w:val="0"/>
                <w:sz w:val="24"/>
                <w:szCs w:val="24"/>
              </w:rPr>
              <w:t>日</w:t>
            </w:r>
          </w:p>
        </w:tc>
      </w:tr>
    </w:tbl>
    <w:p>
      <w:pPr>
        <w:jc w:val="left"/>
        <w:rPr>
          <w:rFonts w:asciiTheme="minorEastAsia" w:hAnsiTheme="minorEastAsia"/>
          <w:sz w:val="24"/>
          <w:szCs w:val="2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20CD"/>
    <w:rsid w:val="00046A55"/>
    <w:rsid w:val="000576D6"/>
    <w:rsid w:val="000A76D9"/>
    <w:rsid w:val="000D3E96"/>
    <w:rsid w:val="001218F8"/>
    <w:rsid w:val="00172725"/>
    <w:rsid w:val="001F5E8F"/>
    <w:rsid w:val="00242A79"/>
    <w:rsid w:val="00380E0F"/>
    <w:rsid w:val="00400F29"/>
    <w:rsid w:val="0045054F"/>
    <w:rsid w:val="00542377"/>
    <w:rsid w:val="0065068C"/>
    <w:rsid w:val="006D5161"/>
    <w:rsid w:val="00717250"/>
    <w:rsid w:val="00754BC2"/>
    <w:rsid w:val="007679A1"/>
    <w:rsid w:val="007A0DDE"/>
    <w:rsid w:val="0081112D"/>
    <w:rsid w:val="008637E3"/>
    <w:rsid w:val="009324A3"/>
    <w:rsid w:val="00935F4E"/>
    <w:rsid w:val="009C30A4"/>
    <w:rsid w:val="00A0455B"/>
    <w:rsid w:val="00A81566"/>
    <w:rsid w:val="00B41632"/>
    <w:rsid w:val="00B70CB7"/>
    <w:rsid w:val="00D044B8"/>
    <w:rsid w:val="00ED68D4"/>
    <w:rsid w:val="00F63AFC"/>
    <w:rsid w:val="00FB75A2"/>
    <w:rsid w:val="011930FB"/>
    <w:rsid w:val="028978F3"/>
    <w:rsid w:val="04B16009"/>
    <w:rsid w:val="05CA26DC"/>
    <w:rsid w:val="0B306B3E"/>
    <w:rsid w:val="0B8F5F4C"/>
    <w:rsid w:val="12874B8A"/>
    <w:rsid w:val="16CD609B"/>
    <w:rsid w:val="1D246D80"/>
    <w:rsid w:val="1EDE0446"/>
    <w:rsid w:val="1FA37724"/>
    <w:rsid w:val="248B348E"/>
    <w:rsid w:val="2A387EC8"/>
    <w:rsid w:val="33647B18"/>
    <w:rsid w:val="585D434A"/>
    <w:rsid w:val="5CAA6EB2"/>
    <w:rsid w:val="5E2A5D60"/>
    <w:rsid w:val="60D33046"/>
    <w:rsid w:val="6342208E"/>
    <w:rsid w:val="6A4B413D"/>
    <w:rsid w:val="6B820F84"/>
    <w:rsid w:val="6C8205C7"/>
    <w:rsid w:val="701176D9"/>
    <w:rsid w:val="729F6FCF"/>
    <w:rsid w:val="73134FCC"/>
    <w:rsid w:val="736F6285"/>
    <w:rsid w:val="753B6897"/>
    <w:rsid w:val="7B5F3D7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table of authorities"/>
    <w:basedOn w:val="1"/>
    <w:next w:val="1"/>
    <w:qFormat/>
    <w:uiPriority w:val="0"/>
    <w:pPr>
      <w:ind w:left="420" w:leftChars="200"/>
    </w:pPr>
    <w:rPr>
      <w:rFonts w:ascii="Times New Roman" w:hAnsi="Times New Roman" w:eastAsia="宋体" w:cs="Times New Roman"/>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560" w:lineRule="exact"/>
      <w:ind w:firstLine="200" w:firstLineChars="200"/>
      <w:jc w:val="left"/>
    </w:pPr>
    <w:rPr>
      <w:rFonts w:ascii="宋体" w:hAnsi="宋体" w:eastAsia="仿宋" w:cs="宋体"/>
      <w:kern w:val="0"/>
      <w:sz w:val="24"/>
      <w:szCs w:val="24"/>
    </w:rPr>
  </w:style>
  <w:style w:type="character" w:styleId="8">
    <w:name w:val="page number"/>
    <w:basedOn w:val="7"/>
    <w:qFormat/>
    <w:uiPriority w:val="99"/>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1">
    <w:name w:val="页眉 字符"/>
    <w:basedOn w:val="7"/>
    <w:link w:val="5"/>
    <w:qFormat/>
    <w:uiPriority w:val="99"/>
    <w:rPr>
      <w:rFonts w:asciiTheme="minorHAnsi" w:hAnsiTheme="minorHAnsi" w:eastAsiaTheme="minorEastAsia" w:cstheme="minorBidi"/>
      <w:kern w:val="2"/>
      <w:sz w:val="18"/>
      <w:szCs w:val="18"/>
    </w:rPr>
  </w:style>
  <w:style w:type="character" w:customStyle="1" w:styleId="12">
    <w:name w:val="页脚 字符"/>
    <w:basedOn w:val="7"/>
    <w:link w:val="4"/>
    <w:qFormat/>
    <w:uiPriority w:val="99"/>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正文文本_"/>
    <w:qFormat/>
    <w:uiPriority w:val="99"/>
    <w:rPr>
      <w:rFonts w:hint="eastAsia" w:ascii="MingLiU" w:eastAsia="MingLiU" w:cs="MingLiU"/>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302</Words>
  <Characters>1725</Characters>
  <Lines>14</Lines>
  <Paragraphs>4</Paragraphs>
  <TotalTime>57</TotalTime>
  <ScaleCrop>false</ScaleCrop>
  <LinksUpToDate>false</LinksUpToDate>
  <CharactersWithSpaces>2023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cp:lastModifiedBy>
  <dcterms:modified xsi:type="dcterms:W3CDTF">2022-10-25T10:44:46Z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90A16A55CDB647B7B92735B896949A97</vt:lpwstr>
  </property>
</Properties>
</file>