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2"/>
          <w:szCs w:val="32"/>
        </w:rPr>
      </w:pPr>
      <w:r>
        <w:rPr>
          <w:rFonts w:hint="eastAsia" w:ascii="黑体" w:hAnsi="黑体" w:eastAsia="黑体"/>
          <w:sz w:val="32"/>
          <w:szCs w:val="32"/>
        </w:rPr>
        <w:t>20</w:t>
      </w:r>
      <w:r>
        <w:rPr>
          <w:rFonts w:hint="eastAsia" w:ascii="黑体" w:hAnsi="黑体" w:eastAsia="黑体"/>
          <w:sz w:val="32"/>
          <w:szCs w:val="32"/>
          <w:lang w:val="en-US" w:eastAsia="zh-CN"/>
        </w:rPr>
        <w:t>20</w:t>
      </w:r>
      <w:r>
        <w:rPr>
          <w:rFonts w:hint="eastAsia" w:ascii="黑体" w:hAnsi="黑体" w:eastAsia="黑体"/>
          <w:sz w:val="32"/>
          <w:szCs w:val="32"/>
        </w:rPr>
        <w:t>年三江侗族自治县村庄规划专项经费项目支出绩效再评价结果</w:t>
      </w:r>
    </w:p>
    <w:tbl>
      <w:tblPr>
        <w:tblStyle w:val="5"/>
        <w:tblW w:w="9654"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8"/>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58" w:type="dxa"/>
            <w:shd w:val="clear" w:color="auto" w:fill="auto"/>
            <w:noWrap/>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项目名称</w:t>
            </w:r>
          </w:p>
        </w:tc>
        <w:tc>
          <w:tcPr>
            <w:tcW w:w="7796" w:type="dxa"/>
            <w:shd w:val="clear" w:color="auto" w:fill="auto"/>
            <w:noWrap/>
            <w:vAlign w:val="center"/>
          </w:tcPr>
          <w:p>
            <w:pPr>
              <w:widowControl/>
              <w:spacing w:line="44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三江侗族自治县村庄规划经费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58" w:type="dxa"/>
            <w:shd w:val="clear" w:color="auto" w:fill="auto"/>
            <w:noWrap/>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预算金额（万元）</w:t>
            </w:r>
          </w:p>
        </w:tc>
        <w:tc>
          <w:tcPr>
            <w:tcW w:w="7796" w:type="dxa"/>
            <w:shd w:val="clear" w:color="auto" w:fill="auto"/>
            <w:noWrap/>
            <w:vAlign w:val="center"/>
          </w:tcPr>
          <w:p>
            <w:pPr>
              <w:widowControl/>
              <w:spacing w:line="440" w:lineRule="exact"/>
              <w:jc w:val="left"/>
              <w:rPr>
                <w:rFonts w:cs="宋体" w:asciiTheme="minorEastAsia" w:hAnsiTheme="minorEastAsia"/>
                <w:color w:val="000000"/>
                <w:kern w:val="0"/>
                <w:sz w:val="24"/>
                <w:szCs w:val="24"/>
              </w:rPr>
            </w:pPr>
            <w:r>
              <w:rPr>
                <w:rFonts w:hint="eastAsia" w:ascii="仿宋" w:hAnsi="仿宋"/>
                <w:bCs/>
                <w:sz w:val="28"/>
                <w:szCs w:val="28"/>
                <w:lang w:val="en-US" w:eastAsia="zh-CN"/>
              </w:rPr>
              <w:t>210万元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58" w:type="dxa"/>
            <w:shd w:val="clear" w:color="auto" w:fill="auto"/>
            <w:noWrap/>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项目实施单位</w:t>
            </w:r>
          </w:p>
        </w:tc>
        <w:tc>
          <w:tcPr>
            <w:tcW w:w="7796" w:type="dxa"/>
            <w:shd w:val="clear" w:color="auto" w:fill="auto"/>
            <w:noWrap/>
            <w:vAlign w:val="center"/>
          </w:tcPr>
          <w:p>
            <w:pPr>
              <w:widowControl/>
              <w:spacing w:line="44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三江侗族自治县自然资源和规划局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58" w:type="dxa"/>
            <w:shd w:val="clear" w:color="auto" w:fill="auto"/>
            <w:noWrap/>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评价得分</w:t>
            </w:r>
          </w:p>
        </w:tc>
        <w:tc>
          <w:tcPr>
            <w:tcW w:w="7796" w:type="dxa"/>
            <w:shd w:val="clear" w:color="auto" w:fill="auto"/>
            <w:noWrap/>
            <w:vAlign w:val="center"/>
          </w:tcPr>
          <w:p>
            <w:pPr>
              <w:widowControl/>
              <w:spacing w:line="44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得分：</w:t>
            </w:r>
            <w:r>
              <w:rPr>
                <w:rFonts w:hint="eastAsia" w:ascii="仿宋" w:hAnsi="仿宋"/>
                <w:bCs/>
                <w:color w:val="000000" w:themeColor="text1"/>
                <w:sz w:val="28"/>
                <w:szCs w:val="28"/>
                <w:highlight w:val="none"/>
                <w:lang w:val="en-US" w:eastAsia="zh-CN"/>
                <w14:textFill>
                  <w14:solidFill>
                    <w14:schemeClr w14:val="tx1"/>
                  </w14:solidFill>
                </w14:textFill>
              </w:rPr>
              <w:t>93.75</w:t>
            </w:r>
            <w:r>
              <w:rPr>
                <w:rFonts w:hint="eastAsia" w:asciiTheme="minorEastAsia" w:hAnsiTheme="minorEastAsia"/>
                <w:bCs/>
                <w:sz w:val="24"/>
                <w:szCs w:val="24"/>
              </w:rPr>
              <w:t xml:space="preserve">分  </w:t>
            </w:r>
            <w:r>
              <w:rPr>
                <w:rFonts w:hint="eastAsia" w:cs="宋体" w:asciiTheme="minorEastAsia" w:hAnsiTheme="minorEastAsia"/>
                <w:color w:val="000000"/>
                <w:kern w:val="0"/>
                <w:sz w:val="24"/>
                <w:szCs w:val="24"/>
              </w:rPr>
              <w:t>评价等级：优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1858" w:type="dxa"/>
            <w:shd w:val="clear" w:color="auto" w:fill="auto"/>
            <w:noWrap/>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评价结论</w:t>
            </w:r>
          </w:p>
        </w:tc>
        <w:tc>
          <w:tcPr>
            <w:tcW w:w="7796" w:type="dxa"/>
            <w:shd w:val="clear" w:color="auto" w:fill="auto"/>
            <w:noWrap/>
            <w:vAlign w:val="center"/>
          </w:tcPr>
          <w:p>
            <w:pPr>
              <w:spacing w:line="440" w:lineRule="exact"/>
              <w:ind w:firstLine="480" w:firstLineChars="200"/>
              <w:contextualSpacing/>
              <w:rPr>
                <w:rFonts w:cs="宋体" w:asciiTheme="minorEastAsia" w:hAnsiTheme="minorEastAsia"/>
                <w:color w:val="000000"/>
                <w:kern w:val="0"/>
                <w:sz w:val="24"/>
                <w:szCs w:val="24"/>
              </w:rPr>
            </w:pPr>
            <w:r>
              <w:rPr>
                <w:rFonts w:hint="eastAsia" w:cs="宋体" w:asciiTheme="minorEastAsia" w:hAnsiTheme="minorEastAsia"/>
                <w:kern w:val="0"/>
                <w:sz w:val="24"/>
                <w:szCs w:val="24"/>
              </w:rPr>
              <w:t>三江县自然资源和规划局认真按照</w:t>
            </w:r>
            <w:r>
              <w:rPr>
                <w:rFonts w:hint="eastAsia" w:cs="宋体" w:asciiTheme="minorEastAsia" w:hAnsiTheme="minorEastAsia"/>
                <w:kern w:val="0"/>
                <w:sz w:val="24"/>
                <w:szCs w:val="24"/>
                <w:lang w:val="en-US" w:eastAsia="zh-CN"/>
              </w:rPr>
              <w:t>柳州市自然资源和规划局关于推进全市2020年村庄规划编制任务要求，召开局党组会议讨论研究村庄规划编制工作，并确定招标代理机构和控制价等事宜。项目采用竞争性磋商方式择优比价后确定规划编制机构。2020年10月高透村、和里村、南寨村、白岩村、布央村共5个村村庄规划通过专家评审，完成项目年度绩效目标。三江县通过村庄规划对农村产业进行梳理，理清村庄发展思路，明确乡村振兴各项任务优先序，为乡村振兴实施打好规划基础。</w:t>
            </w:r>
            <w:r>
              <w:rPr>
                <w:rFonts w:hint="eastAsia" w:cs="宋体" w:asciiTheme="minorEastAsia" w:hAnsiTheme="minorEastAsia"/>
                <w:kern w:val="0"/>
                <w:sz w:val="24"/>
                <w:szCs w:val="24"/>
              </w:rPr>
              <w:t>按规定合理使用村庄规划专项资金，但</w:t>
            </w:r>
            <w:r>
              <w:rPr>
                <w:rFonts w:hint="eastAsia" w:cs="宋体" w:asciiTheme="minorEastAsia" w:hAnsiTheme="minorEastAsia"/>
                <w:kern w:val="0"/>
                <w:sz w:val="24"/>
                <w:szCs w:val="24"/>
                <w:lang w:eastAsia="zh-CN"/>
              </w:rPr>
              <w:t>在制度建设、合同管理、支出审批等环节还需加强管理，</w:t>
            </w:r>
            <w:r>
              <w:rPr>
                <w:rFonts w:hint="eastAsia" w:cs="宋体" w:asciiTheme="minorEastAsia" w:hAnsiTheme="minorEastAsia"/>
                <w:kern w:val="0"/>
                <w:sz w:val="24"/>
                <w:szCs w:val="24"/>
              </w:rPr>
              <w:t>不断提高预算管理水平。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1" w:hRule="atLeast"/>
        </w:trPr>
        <w:tc>
          <w:tcPr>
            <w:tcW w:w="1858" w:type="dxa"/>
            <w:shd w:val="clear" w:color="auto" w:fill="auto"/>
            <w:noWrap/>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主要绩效</w:t>
            </w:r>
          </w:p>
        </w:tc>
        <w:tc>
          <w:tcPr>
            <w:tcW w:w="7796" w:type="dxa"/>
            <w:shd w:val="clear" w:color="auto" w:fill="auto"/>
            <w:noWrap/>
            <w:vAlign w:val="center"/>
          </w:tcPr>
          <w:p>
            <w:pPr>
              <w:widowControl/>
              <w:spacing w:line="440" w:lineRule="exact"/>
              <w:ind w:firstLine="480" w:firstLineChars="200"/>
              <w:contextualSpacing/>
              <w:rPr>
                <w:rFonts w:cs="宋体" w:asciiTheme="minorEastAsia" w:hAnsiTheme="minorEastAsia"/>
                <w:b w:val="0"/>
                <w:bCs w:val="0"/>
                <w:kern w:val="0"/>
                <w:sz w:val="24"/>
                <w:szCs w:val="24"/>
              </w:rPr>
            </w:pPr>
            <w:r>
              <w:rPr>
                <w:rFonts w:hint="eastAsia" w:cs="宋体" w:asciiTheme="minorEastAsia" w:hAnsiTheme="minorEastAsia"/>
                <w:b w:val="0"/>
                <w:bCs w:val="0"/>
                <w:kern w:val="0"/>
                <w:sz w:val="24"/>
                <w:szCs w:val="24"/>
                <w:lang w:val="en-US" w:eastAsia="zh-CN"/>
              </w:rPr>
              <w:t>1.</w:t>
            </w:r>
            <w:r>
              <w:rPr>
                <w:rFonts w:hint="eastAsia" w:cs="宋体" w:asciiTheme="minorEastAsia" w:hAnsiTheme="minorEastAsia"/>
                <w:b w:val="0"/>
                <w:bCs w:val="0"/>
                <w:kern w:val="0"/>
                <w:sz w:val="24"/>
                <w:szCs w:val="24"/>
              </w:rPr>
              <w:t>项目绩效：</w:t>
            </w:r>
            <w:r>
              <w:rPr>
                <w:rFonts w:hint="eastAsia" w:asciiTheme="minorEastAsia" w:hAnsiTheme="minorEastAsia"/>
                <w:b w:val="0"/>
                <w:bCs w:val="0"/>
                <w:sz w:val="24"/>
                <w:szCs w:val="24"/>
              </w:rPr>
              <w:t>计划</w:t>
            </w:r>
            <w:r>
              <w:rPr>
                <w:rFonts w:hint="eastAsia" w:asciiTheme="minorEastAsia" w:hAnsiTheme="minorEastAsia"/>
                <w:b w:val="0"/>
                <w:bCs w:val="0"/>
                <w:sz w:val="24"/>
                <w:szCs w:val="24"/>
                <w:lang w:eastAsia="zh-CN"/>
              </w:rPr>
              <w:t>完成</w:t>
            </w:r>
            <w:r>
              <w:rPr>
                <w:rFonts w:hint="eastAsia" w:asciiTheme="minorEastAsia" w:hAnsiTheme="minorEastAsia"/>
                <w:b w:val="0"/>
                <w:bCs w:val="0"/>
                <w:sz w:val="24"/>
                <w:szCs w:val="24"/>
              </w:rPr>
              <w:t>5个村庄规划编制</w:t>
            </w:r>
            <w:r>
              <w:rPr>
                <w:rFonts w:hint="eastAsia" w:asciiTheme="minorEastAsia" w:hAnsiTheme="minorEastAsia"/>
                <w:b w:val="0"/>
                <w:bCs w:val="0"/>
                <w:sz w:val="24"/>
                <w:szCs w:val="24"/>
                <w:lang w:eastAsia="zh-CN"/>
              </w:rPr>
              <w:t>工作，实际按时完成</w:t>
            </w:r>
            <w:r>
              <w:rPr>
                <w:rFonts w:hint="eastAsia" w:asciiTheme="minorEastAsia" w:hAnsiTheme="minorEastAsia"/>
                <w:b w:val="0"/>
                <w:bCs w:val="0"/>
                <w:sz w:val="24"/>
                <w:szCs w:val="24"/>
                <w:lang w:val="en-US" w:eastAsia="zh-CN"/>
              </w:rPr>
              <w:t>高透村、和里村、南寨村、白岩村、布央村共</w:t>
            </w:r>
            <w:r>
              <w:rPr>
                <w:rFonts w:hint="eastAsia" w:asciiTheme="minorEastAsia" w:hAnsiTheme="minorEastAsia"/>
                <w:b w:val="0"/>
                <w:bCs w:val="0"/>
                <w:sz w:val="24"/>
                <w:szCs w:val="24"/>
              </w:rPr>
              <w:t>5个村庄2020-2035年实用性村庄规划编制</w:t>
            </w:r>
            <w:r>
              <w:rPr>
                <w:rFonts w:hint="eastAsia" w:asciiTheme="minorEastAsia" w:hAnsiTheme="minorEastAsia"/>
                <w:b w:val="0"/>
                <w:bCs w:val="0"/>
                <w:sz w:val="24"/>
                <w:szCs w:val="24"/>
                <w:lang w:eastAsia="zh-CN"/>
              </w:rPr>
              <w:t>工作。</w:t>
            </w:r>
          </w:p>
          <w:p>
            <w:pPr>
              <w:spacing w:line="440" w:lineRule="exact"/>
              <w:ind w:firstLine="480" w:firstLineChars="200"/>
              <w:contextualSpacing/>
              <w:rPr>
                <w:rFonts w:asciiTheme="minorEastAsia" w:hAnsiTheme="minorEastAsia"/>
                <w:b/>
                <w:sz w:val="24"/>
                <w:szCs w:val="24"/>
              </w:rPr>
            </w:pPr>
            <w:r>
              <w:rPr>
                <w:rFonts w:hint="eastAsia" w:asciiTheme="minorEastAsia" w:hAnsiTheme="minorEastAsia"/>
                <w:b w:val="0"/>
                <w:bCs w:val="0"/>
                <w:sz w:val="24"/>
                <w:szCs w:val="24"/>
              </w:rPr>
              <w:t>2.资金使用：</w:t>
            </w:r>
            <w:r>
              <w:rPr>
                <w:rFonts w:hint="eastAsia" w:cs="宋体" w:asciiTheme="minorEastAsia" w:hAnsiTheme="minorEastAsia"/>
                <w:color w:val="000000"/>
                <w:kern w:val="0"/>
                <w:sz w:val="24"/>
                <w:szCs w:val="24"/>
              </w:rPr>
              <w:t>村庄规划</w:t>
            </w:r>
            <w:r>
              <w:rPr>
                <w:rFonts w:hint="eastAsia" w:cs="宋体" w:asciiTheme="minorEastAsia" w:hAnsiTheme="minorEastAsia"/>
                <w:color w:val="000000"/>
                <w:kern w:val="0"/>
                <w:sz w:val="24"/>
                <w:szCs w:val="24"/>
                <w:lang w:eastAsia="zh-CN"/>
              </w:rPr>
              <w:t>专项</w:t>
            </w:r>
            <w:r>
              <w:rPr>
                <w:rFonts w:hint="eastAsia" w:cs="宋体" w:asciiTheme="minorEastAsia" w:hAnsiTheme="minorEastAsia"/>
                <w:sz w:val="24"/>
                <w:szCs w:val="24"/>
              </w:rPr>
              <w:t>经费预算</w:t>
            </w:r>
            <w:r>
              <w:rPr>
                <w:rFonts w:hint="eastAsia" w:cs="宋体" w:asciiTheme="minorEastAsia" w:hAnsiTheme="minorEastAsia"/>
                <w:sz w:val="24"/>
                <w:szCs w:val="24"/>
                <w:lang w:eastAsia="zh-CN"/>
              </w:rPr>
              <w:t>安排</w:t>
            </w:r>
            <w:r>
              <w:rPr>
                <w:rFonts w:hint="eastAsia" w:cs="宋体" w:asciiTheme="minorEastAsia" w:hAnsiTheme="minorEastAsia"/>
                <w:sz w:val="24"/>
                <w:szCs w:val="24"/>
              </w:rPr>
              <w:t>210万元</w:t>
            </w:r>
            <w:r>
              <w:rPr>
                <w:rFonts w:hint="eastAsia" w:cs="宋体" w:asciiTheme="minorEastAsia" w:hAnsiTheme="minorEastAsia"/>
                <w:sz w:val="24"/>
                <w:szCs w:val="24"/>
                <w:lang w:eastAsia="zh-CN"/>
              </w:rPr>
              <w:t>，</w:t>
            </w:r>
            <w:r>
              <w:rPr>
                <w:rFonts w:hint="eastAsia" w:cs="宋体" w:asciiTheme="minorEastAsia" w:hAnsiTheme="minorEastAsia"/>
                <w:sz w:val="24"/>
                <w:szCs w:val="24"/>
              </w:rPr>
              <w:t>资金到位率100%，</w:t>
            </w:r>
            <w:r>
              <w:rPr>
                <w:rFonts w:hint="eastAsia" w:cs="宋体" w:asciiTheme="minorEastAsia" w:hAnsiTheme="minorEastAsia"/>
                <w:sz w:val="24"/>
                <w:szCs w:val="24"/>
                <w:lang w:eastAsia="zh-CN"/>
              </w:rPr>
              <w:t>实际</w:t>
            </w:r>
            <w:r>
              <w:rPr>
                <w:rFonts w:hint="eastAsia" w:cs="宋体" w:asciiTheme="minorEastAsia" w:hAnsiTheme="minorEastAsia"/>
                <w:sz w:val="24"/>
                <w:szCs w:val="24"/>
              </w:rPr>
              <w:t>使用资金2</w:t>
            </w:r>
            <w:bookmarkStart w:id="0" w:name="_GoBack"/>
            <w:bookmarkEnd w:id="0"/>
            <w:r>
              <w:rPr>
                <w:rFonts w:hint="eastAsia" w:cs="宋体" w:asciiTheme="minorEastAsia" w:hAnsiTheme="minorEastAsia"/>
                <w:sz w:val="24"/>
                <w:szCs w:val="24"/>
              </w:rPr>
              <w:t>10万元，资金使用率100%。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5" w:hRule="atLeast"/>
        </w:trPr>
        <w:tc>
          <w:tcPr>
            <w:tcW w:w="1858" w:type="dxa"/>
            <w:shd w:val="clear" w:color="auto" w:fill="auto"/>
            <w:noWrap/>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经验及做法</w:t>
            </w:r>
          </w:p>
        </w:tc>
        <w:tc>
          <w:tcPr>
            <w:tcW w:w="7796" w:type="dxa"/>
            <w:shd w:val="clear" w:color="auto" w:fill="auto"/>
            <w:noWrap/>
            <w:vAlign w:val="center"/>
          </w:tcPr>
          <w:p>
            <w:pPr>
              <w:spacing w:line="440" w:lineRule="exact"/>
              <w:ind w:firstLine="480" w:firstLineChars="200"/>
              <w:contextualSpacing/>
              <w:rPr>
                <w:rFonts w:hint="eastAsia" w:cs="宋体" w:asciiTheme="minorEastAsia" w:hAnsiTheme="minorEastAsia"/>
                <w:kern w:val="0"/>
                <w:sz w:val="24"/>
                <w:szCs w:val="24"/>
              </w:rPr>
            </w:pPr>
            <w:r>
              <w:rPr>
                <w:rFonts w:hint="eastAsia" w:cs="宋体" w:asciiTheme="minorEastAsia" w:hAnsiTheme="minorEastAsia"/>
                <w:kern w:val="0"/>
                <w:sz w:val="24"/>
                <w:szCs w:val="24"/>
              </w:rPr>
              <w:t>1.加强组织领导，明确责任主体。三江县自然资源和规划局作为县级村庄规划管理的责任主体，会同相关部门制定三江县“多规合一”村庄规划编制实施工作方案和年度计划，负责牵头指导和推动村庄规划编制工作；乡镇人民政府负责组织编制城镇开发边界外乡村地区的“多规合一”实用性村庄规划，并报县级人民政府审批。引导村党组织和村民委员会研究审议村庄规划，并动员、组织村民积极参与村庄规划编制，协商确定规划内容，将审批后的村庄规划的主要内容纳入村规民约。</w:t>
            </w:r>
          </w:p>
          <w:p>
            <w:pPr>
              <w:spacing w:line="440" w:lineRule="exact"/>
              <w:ind w:firstLine="480" w:firstLineChars="200"/>
              <w:contextualSpacing/>
              <w:rPr>
                <w:rFonts w:hint="eastAsia" w:cs="宋体" w:asciiTheme="minorEastAsia" w:hAnsiTheme="minorEastAsia"/>
                <w:kern w:val="0"/>
                <w:sz w:val="24"/>
                <w:szCs w:val="24"/>
              </w:rPr>
            </w:pPr>
            <w:r>
              <w:rPr>
                <w:rFonts w:hint="eastAsia" w:cs="宋体" w:asciiTheme="minorEastAsia" w:hAnsiTheme="minorEastAsia"/>
                <w:kern w:val="0"/>
                <w:sz w:val="24"/>
                <w:szCs w:val="24"/>
              </w:rPr>
              <w:t>2.</w:t>
            </w:r>
            <w:r>
              <w:rPr>
                <w:rFonts w:hint="eastAsia" w:cs="宋体" w:asciiTheme="minorEastAsia" w:hAnsiTheme="minorEastAsia"/>
                <w:kern w:val="0"/>
                <w:sz w:val="24"/>
                <w:szCs w:val="24"/>
                <w:lang w:eastAsia="zh-CN"/>
              </w:rPr>
              <w:t>因地制宜，选择</w:t>
            </w:r>
            <w:r>
              <w:rPr>
                <w:rFonts w:hint="eastAsia" w:cs="宋体" w:asciiTheme="minorEastAsia" w:hAnsiTheme="minorEastAsia"/>
                <w:kern w:val="0"/>
                <w:sz w:val="24"/>
                <w:szCs w:val="24"/>
              </w:rPr>
              <w:t>村庄规划</w:t>
            </w:r>
            <w:r>
              <w:rPr>
                <w:rFonts w:hint="eastAsia" w:cs="宋体" w:asciiTheme="minorEastAsia" w:hAnsiTheme="minorEastAsia"/>
                <w:kern w:val="0"/>
                <w:sz w:val="24"/>
                <w:szCs w:val="24"/>
                <w:lang w:eastAsia="zh-CN"/>
              </w:rPr>
              <w:t>编制</w:t>
            </w:r>
            <w:r>
              <w:rPr>
                <w:rFonts w:hint="eastAsia" w:cs="宋体" w:asciiTheme="minorEastAsia" w:hAnsiTheme="minorEastAsia"/>
                <w:kern w:val="0"/>
                <w:sz w:val="24"/>
                <w:szCs w:val="24"/>
              </w:rPr>
              <w:t>项目</w:t>
            </w:r>
            <w:r>
              <w:rPr>
                <w:rFonts w:hint="eastAsia" w:cs="宋体" w:asciiTheme="minorEastAsia" w:hAnsiTheme="minorEastAsia"/>
                <w:kern w:val="0"/>
                <w:sz w:val="24"/>
                <w:szCs w:val="24"/>
                <w:lang w:eastAsia="zh-CN"/>
              </w:rPr>
              <w:t>区。</w:t>
            </w:r>
            <w:r>
              <w:rPr>
                <w:rFonts w:hint="eastAsia" w:cs="宋体" w:asciiTheme="minorEastAsia" w:hAnsiTheme="minorEastAsia"/>
                <w:kern w:val="0"/>
                <w:sz w:val="24"/>
                <w:szCs w:val="24"/>
              </w:rPr>
              <w:t>三江县自然资源和规划局根据《广西壮族自治区自然资源厅办公室关于贯彻落实乡村振兴战略做好2020年村庄规划和农房管控工作的通知》（桂自然资办﹝2020﹞145号）相关部署，结合三江县的特点优先在农村人居环境整治和乡村风貌提升重要裙带区域、重要交通沿线和拟开展全域土地综合整治或增减挂钩重点的区域高秀村、和里村、南寨村、白岩村、布央村共5个村，稳妥推进村庄规划项目编制工作。</w:t>
            </w:r>
          </w:p>
          <w:p>
            <w:pPr>
              <w:spacing w:line="440" w:lineRule="exact"/>
              <w:ind w:firstLine="480" w:firstLineChars="200"/>
              <w:contextualSpacing/>
              <w:rPr>
                <w:rFonts w:hint="eastAsia" w:cs="宋体" w:asciiTheme="minorEastAsia" w:hAnsiTheme="minorEastAsia"/>
                <w:kern w:val="0"/>
                <w:sz w:val="24"/>
                <w:szCs w:val="24"/>
              </w:rPr>
            </w:pPr>
            <w:r>
              <w:rPr>
                <w:rFonts w:hint="eastAsia" w:cs="宋体" w:asciiTheme="minorEastAsia" w:hAnsiTheme="minorEastAsia"/>
                <w:kern w:val="0"/>
                <w:sz w:val="24"/>
                <w:szCs w:val="24"/>
              </w:rPr>
              <w:t>3.项目推进有序。三江县自然资源和规划局于2020年</w:t>
            </w:r>
            <w:r>
              <w:rPr>
                <w:rFonts w:hint="eastAsia" w:cs="宋体" w:asciiTheme="minorEastAsia" w:hAnsiTheme="minorEastAsia"/>
                <w:kern w:val="0"/>
                <w:sz w:val="24"/>
                <w:szCs w:val="24"/>
                <w:lang w:eastAsia="zh-CN"/>
              </w:rPr>
              <w:t>年初即</w:t>
            </w:r>
            <w:r>
              <w:rPr>
                <w:rFonts w:hint="eastAsia" w:cs="宋体" w:asciiTheme="minorEastAsia" w:hAnsiTheme="minorEastAsia"/>
                <w:kern w:val="0"/>
                <w:sz w:val="24"/>
                <w:szCs w:val="24"/>
              </w:rPr>
              <w:t>召开局党组会议</w:t>
            </w:r>
            <w:r>
              <w:rPr>
                <w:rFonts w:hint="eastAsia" w:cs="宋体" w:asciiTheme="minorEastAsia" w:hAnsiTheme="minorEastAsia"/>
                <w:kern w:val="0"/>
                <w:sz w:val="24"/>
                <w:szCs w:val="24"/>
                <w:lang w:val="en-US" w:eastAsia="zh-CN"/>
              </w:rPr>
              <w:t>讨论研究村庄规划编制工作。采用竞争性磋商方式择优比价后确定规划编制机构</w:t>
            </w:r>
            <w:r>
              <w:rPr>
                <w:rFonts w:hint="eastAsia" w:cs="宋体" w:asciiTheme="minorEastAsia" w:hAnsiTheme="minorEastAsia"/>
                <w:kern w:val="0"/>
                <w:sz w:val="24"/>
                <w:szCs w:val="24"/>
                <w:lang w:eastAsia="zh-CN"/>
              </w:rPr>
              <w:t>为</w:t>
            </w:r>
            <w:r>
              <w:rPr>
                <w:rFonts w:hint="eastAsia" w:cs="宋体" w:asciiTheme="minorEastAsia" w:hAnsiTheme="minorEastAsia"/>
                <w:kern w:val="0"/>
                <w:sz w:val="24"/>
                <w:szCs w:val="24"/>
              </w:rPr>
              <w:t>广西壮族自治区国土测绘院和上海中建建筑设计院有限公司承担三江县高秀村、和里村、南寨村、白岩村、布央村共5个村村庄规划编制工作</w:t>
            </w:r>
            <w:r>
              <w:rPr>
                <w:rFonts w:hint="eastAsia" w:cs="宋体" w:asciiTheme="minorEastAsia" w:hAnsiTheme="minorEastAsia"/>
                <w:kern w:val="0"/>
                <w:sz w:val="24"/>
                <w:szCs w:val="24"/>
                <w:lang w:eastAsia="zh-CN"/>
              </w:rPr>
              <w:t>。按照</w:t>
            </w:r>
            <w:r>
              <w:rPr>
                <w:rFonts w:hint="eastAsia" w:ascii="仿宋" w:hAnsi="仿宋" w:eastAsia="仿宋" w:cs="仿宋"/>
                <w:sz w:val="30"/>
                <w:szCs w:val="30"/>
              </w:rPr>
              <w:t>实施工作方案和年度计划</w:t>
            </w:r>
            <w:r>
              <w:rPr>
                <w:rFonts w:hint="eastAsia" w:cs="宋体" w:asciiTheme="minorEastAsia" w:hAnsiTheme="minorEastAsia"/>
                <w:kern w:val="0"/>
                <w:sz w:val="24"/>
                <w:szCs w:val="24"/>
                <w:lang w:val="en-US" w:eastAsia="zh-CN"/>
              </w:rPr>
              <w:t>2020年10月高透村、和里村、南寨村、白岩村、布央村共5个村村庄规划通过专家评审，</w:t>
            </w:r>
            <w:r>
              <w:rPr>
                <w:rFonts w:hint="eastAsia" w:cs="宋体" w:asciiTheme="minorEastAsia" w:hAnsiTheme="minorEastAsia"/>
                <w:kern w:val="0"/>
                <w:sz w:val="24"/>
                <w:szCs w:val="24"/>
              </w:rPr>
              <w:t>村庄规划编制各项工作有序推进。</w:t>
            </w:r>
          </w:p>
          <w:p>
            <w:pPr>
              <w:spacing w:line="440" w:lineRule="exact"/>
              <w:ind w:firstLine="480" w:firstLineChars="200"/>
              <w:contextualSpacing/>
              <w:rPr>
                <w:rFonts w:hint="eastAsia" w:cs="宋体" w:asciiTheme="minorEastAsia" w:hAnsiTheme="minorEastAsia" w:eastAsiaTheme="minorEastAsia"/>
                <w:color w:val="000000"/>
                <w:kern w:val="0"/>
                <w:sz w:val="24"/>
                <w:szCs w:val="24"/>
                <w:lang w:eastAsia="zh-CN"/>
              </w:rPr>
            </w:pPr>
            <w:r>
              <w:rPr>
                <w:rFonts w:hint="eastAsia" w:asciiTheme="minorEastAsia" w:hAnsiTheme="minorEastAsia"/>
                <w:bCs/>
                <w:sz w:val="24"/>
                <w:szCs w:val="24"/>
                <w:lang w:val="en-US" w:eastAsia="zh-CN"/>
              </w:rPr>
              <w:t>4</w:t>
            </w:r>
            <w:r>
              <w:rPr>
                <w:rFonts w:hint="eastAsia" w:asciiTheme="minorEastAsia" w:hAnsiTheme="minorEastAsia"/>
                <w:bCs/>
                <w:sz w:val="24"/>
                <w:szCs w:val="24"/>
              </w:rPr>
              <w:t>.</w:t>
            </w:r>
            <w:r>
              <w:rPr>
                <w:rFonts w:hint="eastAsia" w:cs="宋体" w:asciiTheme="minorEastAsia" w:hAnsiTheme="minorEastAsia"/>
                <w:kern w:val="0"/>
                <w:sz w:val="24"/>
                <w:szCs w:val="24"/>
              </w:rPr>
              <w:t>统筹安排好项目资金，按</w:t>
            </w:r>
            <w:r>
              <w:rPr>
                <w:rFonts w:hint="eastAsia" w:cs="宋体" w:asciiTheme="minorEastAsia" w:hAnsiTheme="minorEastAsia"/>
                <w:kern w:val="0"/>
                <w:sz w:val="24"/>
                <w:szCs w:val="24"/>
                <w:lang w:eastAsia="zh-CN"/>
              </w:rPr>
              <w:t>合同</w:t>
            </w:r>
            <w:r>
              <w:rPr>
                <w:rFonts w:hint="eastAsia" w:cs="宋体" w:asciiTheme="minorEastAsia" w:hAnsiTheme="minorEastAsia"/>
                <w:kern w:val="0"/>
                <w:sz w:val="24"/>
                <w:szCs w:val="24"/>
              </w:rPr>
              <w:t>规定标准</w:t>
            </w:r>
            <w:r>
              <w:rPr>
                <w:rFonts w:hint="eastAsia" w:cs="宋体" w:asciiTheme="minorEastAsia" w:hAnsiTheme="minorEastAsia"/>
                <w:kern w:val="0"/>
                <w:sz w:val="24"/>
                <w:szCs w:val="24"/>
                <w:lang w:eastAsia="zh-CN"/>
              </w:rPr>
              <w:t>支付</w:t>
            </w:r>
            <w:r>
              <w:rPr>
                <w:rFonts w:hint="eastAsia" w:cs="宋体" w:asciiTheme="minorEastAsia" w:hAnsiTheme="minorEastAsia"/>
                <w:kern w:val="0"/>
                <w:sz w:val="24"/>
                <w:szCs w:val="24"/>
              </w:rPr>
              <w:t>项目</w:t>
            </w:r>
            <w:r>
              <w:rPr>
                <w:rFonts w:hint="eastAsia" w:cs="宋体" w:asciiTheme="minorEastAsia" w:hAnsiTheme="minorEastAsia"/>
                <w:kern w:val="0"/>
                <w:sz w:val="24"/>
                <w:szCs w:val="24"/>
                <w:lang w:eastAsia="zh-CN"/>
              </w:rPr>
              <w:t>资金</w:t>
            </w:r>
            <w:r>
              <w:rPr>
                <w:rFonts w:hint="eastAsia" w:cs="宋体" w:asciiTheme="minorEastAsia" w:hAnsiTheme="minorEastAsia"/>
                <w:kern w:val="0"/>
                <w:sz w:val="24"/>
                <w:szCs w:val="24"/>
              </w:rPr>
              <w:t>，无违规现象</w:t>
            </w:r>
            <w:r>
              <w:rPr>
                <w:rFonts w:hint="eastAsia" w:cs="宋体" w:asciiTheme="minorEastAsia" w:hAnsiTheme="minorEastAsia"/>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858" w:type="dxa"/>
            <w:shd w:val="clear" w:color="auto" w:fill="auto"/>
            <w:noWrap/>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主要问题</w:t>
            </w:r>
          </w:p>
        </w:tc>
        <w:tc>
          <w:tcPr>
            <w:tcW w:w="7796" w:type="dxa"/>
            <w:shd w:val="clear" w:color="auto" w:fill="auto"/>
            <w:noWrap/>
            <w:vAlign w:val="center"/>
          </w:tcPr>
          <w:p>
            <w:pPr>
              <w:spacing w:line="440" w:lineRule="exact"/>
              <w:ind w:firstLine="480" w:firstLineChars="200"/>
              <w:contextualSpacing/>
              <w:rPr>
                <w:rFonts w:hint="eastAsia" w:cs="宋体" w:asciiTheme="minorEastAsia" w:hAnsiTheme="minorEastAsia"/>
                <w:kern w:val="0"/>
                <w:sz w:val="24"/>
                <w:szCs w:val="24"/>
              </w:rPr>
            </w:pPr>
            <w:r>
              <w:rPr>
                <w:rFonts w:hint="eastAsia" w:cs="宋体" w:asciiTheme="minorEastAsia" w:hAnsiTheme="minorEastAsia"/>
                <w:kern w:val="0"/>
                <w:sz w:val="24"/>
                <w:szCs w:val="24"/>
              </w:rPr>
              <w:t>1.制度建设有待进一步加强。三江县自然资源和规划局制定有《项目管理制度》《财务管理制度》《项目责任制度》《项目公告制度》《招投标制度》及《合同管理制度》等管理制度，并参照执行《广西壮族自治区乡村振兴补助资金管理暂行办法》，但单位资金管理制度还不够完善，如缺少“三重一”决策机制管理制度。</w:t>
            </w:r>
          </w:p>
          <w:p>
            <w:pPr>
              <w:spacing w:line="440" w:lineRule="exact"/>
              <w:ind w:firstLine="480" w:firstLineChars="200"/>
              <w:contextualSpacing/>
              <w:rPr>
                <w:rFonts w:hint="eastAsia" w:cs="宋体" w:asciiTheme="minorEastAsia" w:hAnsiTheme="minorEastAsia"/>
                <w:kern w:val="0"/>
                <w:sz w:val="24"/>
                <w:szCs w:val="24"/>
              </w:rPr>
            </w:pPr>
            <w:r>
              <w:rPr>
                <w:rFonts w:hint="eastAsia" w:cs="宋体" w:asciiTheme="minorEastAsia" w:hAnsiTheme="minorEastAsia"/>
                <w:kern w:val="0"/>
                <w:sz w:val="24"/>
                <w:szCs w:val="24"/>
              </w:rPr>
              <w:t>2.制度执行不到位。三江县自然资源和规划局虽然制定有项目管理、合同管理制度，但执行不到位，在政府采购中标通知书、政府采购合同等主要要素填写不完整、合同审核不严谨、管理不规范。如A：2020年4月，永明项目管理有限公司代理采购三江县八江镇布央村村庄规划编制服务采购项目，合同金额60万元整。三江侗族自治县自然资源和规划局与永明项目管理有限公司签订采购合同，合同落款处：年、月、日不填写，全部空白。B：三江县丹洲镇、高秀村、白言村、和里村、南寨村等8个村村庄规划编制服务项目，中标单位为：广西壮族自治区国土测绘院，合同金额452万元，永明项目管理有限公司向广西壮族自治区国土测绘院发出中标通知书，落款日期不填写，空白。</w:t>
            </w:r>
          </w:p>
          <w:p>
            <w:pPr>
              <w:spacing w:line="440" w:lineRule="exact"/>
              <w:ind w:firstLine="480" w:firstLineChars="200"/>
              <w:contextualSpacing/>
              <w:rPr>
                <w:rFonts w:cs="宋体" w:asciiTheme="minorEastAsia" w:hAnsiTheme="minorEastAsia"/>
                <w:color w:val="000000"/>
                <w:kern w:val="0"/>
                <w:sz w:val="24"/>
                <w:szCs w:val="24"/>
              </w:rPr>
            </w:pPr>
            <w:r>
              <w:rPr>
                <w:rFonts w:hint="eastAsia" w:cs="宋体" w:asciiTheme="minorEastAsia" w:hAnsiTheme="minorEastAsia"/>
                <w:kern w:val="0"/>
                <w:sz w:val="24"/>
                <w:szCs w:val="24"/>
              </w:rPr>
              <w:t>3.支出审批不够严谨。项目资金管理按部门预算批复的内容实施，没有发现截留、挤占、挪用、虚列支出等情况。但在村庄规划编制经费支出（2020年8月12日，59#记账凭证支付村庄规划编制经费176.28万元、2020年10月28日，108#记账凭证支付村庄规划编制经费12.72万元）中存在:一是原始凭证缺</w:t>
            </w:r>
            <w:r>
              <w:rPr>
                <w:rFonts w:hint="eastAsia" w:cs="宋体" w:asciiTheme="minorEastAsia" w:hAnsiTheme="minorEastAsia"/>
                <w:kern w:val="0"/>
                <w:sz w:val="24"/>
                <w:szCs w:val="24"/>
                <w:lang w:eastAsia="zh-CN"/>
              </w:rPr>
              <w:t>少</w:t>
            </w:r>
            <w:r>
              <w:rPr>
                <w:rFonts w:hint="eastAsia" w:cs="宋体" w:asciiTheme="minorEastAsia" w:hAnsiTheme="minorEastAsia"/>
                <w:kern w:val="0"/>
                <w:sz w:val="24"/>
                <w:szCs w:val="24"/>
              </w:rPr>
              <w:t>项目合同；二是大额资金开支，不附领导班子会议纪要,未执行“三重一大”决策机制，项目经费报账材料附件不齐全，资金支付审批手续不完善；三是部分增值税发票无经手人、证明人签字，如2020年6月17日005#记账凭证，支付上海中建建筑设计院有限公司--布央村庄规划编制费21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858" w:type="dxa"/>
            <w:shd w:val="clear" w:color="auto" w:fill="auto"/>
            <w:noWrap/>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整改建议</w:t>
            </w:r>
          </w:p>
        </w:tc>
        <w:tc>
          <w:tcPr>
            <w:tcW w:w="7796" w:type="dxa"/>
            <w:shd w:val="clear" w:color="auto" w:fill="auto"/>
            <w:noWrap/>
            <w:vAlign w:val="center"/>
          </w:tcPr>
          <w:p>
            <w:pPr>
              <w:spacing w:line="440" w:lineRule="exact"/>
              <w:ind w:firstLine="480" w:firstLineChars="200"/>
              <w:contextualSpacing/>
              <w:rPr>
                <w:rFonts w:hint="eastAsia" w:cs="宋体" w:asciiTheme="minorEastAsia" w:hAnsiTheme="minorEastAsia"/>
                <w:kern w:val="0"/>
                <w:sz w:val="24"/>
                <w:szCs w:val="24"/>
              </w:rPr>
            </w:pPr>
            <w:r>
              <w:rPr>
                <w:rFonts w:hint="eastAsia" w:cs="宋体" w:asciiTheme="minorEastAsia" w:hAnsiTheme="minorEastAsia"/>
                <w:kern w:val="0"/>
                <w:sz w:val="24"/>
                <w:szCs w:val="24"/>
              </w:rPr>
              <w:t>1.加强制度建设。严格按照自治区财政厅《关于加快推进行政事业单位内部控制建设有关工作的通知》（桂财会〔2016〕25号）建立和完善内部控制制度和财务管理制度，自觉规范单位经济和业务活动。三江县自然资源和规划局要建立健全集体研究、专家论证和技术咨询相结合的议事决策机制，即“三重一大”议事机制，明确“重大事项决策、重要干部任免、重要项目安排、大额资金的使用”的内容、范围、标准。建立健全收入、支出、采购、资产、建设项目、合同等内部控制制度，建设项目科学管理，工程立项、评审、招投标、采购、合同、施工、验收、决算交付使用，层层把关，保证按质按量完成工程项目。</w:t>
            </w:r>
          </w:p>
          <w:p>
            <w:pPr>
              <w:spacing w:line="440" w:lineRule="exact"/>
              <w:ind w:firstLine="480" w:firstLineChars="200"/>
              <w:contextualSpacing/>
              <w:rPr>
                <w:rFonts w:hint="eastAsia" w:cs="宋体" w:asciiTheme="minorEastAsia" w:hAnsiTheme="minorEastAsia"/>
                <w:kern w:val="0"/>
                <w:sz w:val="24"/>
                <w:szCs w:val="24"/>
              </w:rPr>
            </w:pPr>
            <w:r>
              <w:rPr>
                <w:rFonts w:hint="eastAsia" w:cs="宋体" w:asciiTheme="minorEastAsia" w:hAnsiTheme="minorEastAsia"/>
                <w:kern w:val="0"/>
                <w:sz w:val="24"/>
                <w:szCs w:val="24"/>
              </w:rPr>
              <w:t>2.规范合同管理。明确合同拟定、审批、执行等环节的程序和要求，规范填写合同内容，定期检查和评价合同管理中的薄弱环节，采取相应控制措施，促进合同有效、规范履行，切实维护本单位的合法权益。</w:t>
            </w:r>
          </w:p>
          <w:p>
            <w:pPr>
              <w:spacing w:line="440" w:lineRule="exact"/>
              <w:ind w:firstLine="480" w:firstLineChars="200"/>
              <w:contextualSpacing/>
              <w:rPr>
                <w:rFonts w:cs="宋体" w:asciiTheme="minorEastAsia" w:hAnsiTheme="minorEastAsia"/>
                <w:color w:val="000000"/>
                <w:kern w:val="0"/>
                <w:sz w:val="24"/>
                <w:szCs w:val="24"/>
              </w:rPr>
            </w:pPr>
            <w:r>
              <w:rPr>
                <w:rFonts w:hint="eastAsia" w:cs="宋体" w:asciiTheme="minorEastAsia" w:hAnsiTheme="minorEastAsia"/>
                <w:kern w:val="0"/>
                <w:sz w:val="24"/>
                <w:szCs w:val="24"/>
              </w:rPr>
              <w:t>3.加强会计基础工作。一是三江县自然资源和规划局财务人员要全面审核各类单据来源是否合法，内容是否真实、完整，使用是否准确，是否符合预算，经办人员是否履行经办手续，审批手续是否齐全等。二是进一步加强单位内部管理，严格经费支出的审批。大额资金支出，要严格执行“三重一大”议事机制，支出凭证必须附有局领导班子会议讨论通过的相关会议记要，扎扎实实的做好会计基础工作，切实管好用好财政资金，保证会计核算真实、准确、全面反映全局的资金使用情况，使财政资金安全、高效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1858" w:type="dxa"/>
            <w:shd w:val="clear" w:color="auto" w:fill="auto"/>
            <w:noWrap/>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评价机构</w:t>
            </w:r>
          </w:p>
        </w:tc>
        <w:tc>
          <w:tcPr>
            <w:tcW w:w="7796" w:type="dxa"/>
            <w:shd w:val="clear" w:color="auto" w:fill="auto"/>
            <w:noWrap/>
            <w:vAlign w:val="center"/>
          </w:tcPr>
          <w:p>
            <w:pPr>
              <w:widowControl/>
              <w:spacing w:line="440" w:lineRule="exact"/>
              <w:jc w:val="both"/>
              <w:rPr>
                <w:rFonts w:hint="eastAsia" w:cs="宋体" w:asciiTheme="minorEastAsia" w:hAnsiTheme="minorEastAsia"/>
                <w:color w:val="000000"/>
                <w:kern w:val="0"/>
                <w:sz w:val="24"/>
                <w:szCs w:val="24"/>
              </w:rPr>
            </w:pPr>
            <w:r>
              <w:rPr>
                <w:rFonts w:hint="eastAsia" w:cs="宋体" w:asciiTheme="minorEastAsia" w:hAnsiTheme="minorEastAsia"/>
                <w:color w:val="000000"/>
                <w:kern w:val="0"/>
                <w:sz w:val="24"/>
                <w:szCs w:val="24"/>
              </w:rPr>
              <w:t>　南宁鉴达会计服务有限公司</w:t>
            </w:r>
          </w:p>
          <w:p>
            <w:pPr>
              <w:widowControl/>
              <w:spacing w:line="440" w:lineRule="exact"/>
              <w:jc w:val="righ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2021年10月15日</w:t>
            </w:r>
          </w:p>
        </w:tc>
      </w:tr>
    </w:tbl>
    <w:p>
      <w:pPr>
        <w:jc w:val="left"/>
        <w:rPr>
          <w:rFonts w:ascii="黑体" w:hAnsi="黑体" w:eastAsia="黑体"/>
          <w:sz w:val="44"/>
          <w:szCs w:val="44"/>
        </w:rPr>
      </w:pPr>
    </w:p>
    <w:sectPr>
      <w:pgSz w:w="11906" w:h="16838"/>
      <w:pgMar w:top="1418" w:right="1134" w:bottom="130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C2"/>
    <w:rsid w:val="000220CD"/>
    <w:rsid w:val="00046A55"/>
    <w:rsid w:val="000576D6"/>
    <w:rsid w:val="00172725"/>
    <w:rsid w:val="001F5E8F"/>
    <w:rsid w:val="00380E0F"/>
    <w:rsid w:val="00542377"/>
    <w:rsid w:val="0065068C"/>
    <w:rsid w:val="006D5161"/>
    <w:rsid w:val="00717250"/>
    <w:rsid w:val="00754BC2"/>
    <w:rsid w:val="007679A1"/>
    <w:rsid w:val="007A0DDE"/>
    <w:rsid w:val="00935F4E"/>
    <w:rsid w:val="00A81566"/>
    <w:rsid w:val="00B41632"/>
    <w:rsid w:val="00B70CB7"/>
    <w:rsid w:val="00D044B8"/>
    <w:rsid w:val="00ED68D4"/>
    <w:rsid w:val="02F1030B"/>
    <w:rsid w:val="04B16009"/>
    <w:rsid w:val="0B306B3E"/>
    <w:rsid w:val="40831F8C"/>
    <w:rsid w:val="52AB0364"/>
    <w:rsid w:val="585D434A"/>
    <w:rsid w:val="5CAA6EB2"/>
    <w:rsid w:val="5E2A5D60"/>
    <w:rsid w:val="63A3312A"/>
    <w:rsid w:val="73134FCC"/>
    <w:rsid w:val="7BB83770"/>
    <w:rsid w:val="7C966E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rFonts w:eastAsia="仿宋_GB2312"/>
      <w:b/>
      <w:bCs/>
      <w:kern w:val="44"/>
      <w:sz w:val="44"/>
      <w:szCs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style>
  <w:style w:type="paragraph" w:customStyle="1" w:styleId="8">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character" w:customStyle="1" w:styleId="9">
    <w:name w:val="页眉 Char"/>
    <w:basedOn w:val="6"/>
    <w:link w:val="4"/>
    <w:qFormat/>
    <w:uiPriority w:val="99"/>
    <w:rPr>
      <w:rFonts w:asciiTheme="minorHAnsi" w:hAnsiTheme="minorHAnsi" w:eastAsiaTheme="minorEastAsia" w:cstheme="minorBidi"/>
      <w:kern w:val="2"/>
      <w:sz w:val="18"/>
      <w:szCs w:val="18"/>
    </w:rPr>
  </w:style>
  <w:style w:type="character" w:customStyle="1" w:styleId="10">
    <w:name w:val="页脚 Char"/>
    <w:basedOn w:val="6"/>
    <w:link w:val="3"/>
    <w:uiPriority w:val="99"/>
    <w:rPr>
      <w:rFonts w:asciiTheme="minorHAnsi" w:hAnsiTheme="minorHAnsi" w:eastAsiaTheme="minorEastAsia" w:cstheme="minorBidi"/>
      <w:kern w:val="2"/>
      <w:sz w:val="18"/>
      <w:szCs w:val="18"/>
    </w:rPr>
  </w:style>
  <w:style w:type="paragraph"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273</Words>
  <Characters>1561</Characters>
  <Lines>13</Lines>
  <Paragraphs>3</Paragraphs>
  <TotalTime>6</TotalTime>
  <ScaleCrop>false</ScaleCrop>
  <LinksUpToDate>false</LinksUpToDate>
  <CharactersWithSpaces>1831</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2020-12-15T15:44:00Z</dcterms:created>
  <dc:creator>pan</dc:creator>
  <cp:lastModifiedBy>Administrator</cp:lastModifiedBy>
  <dcterms:modified xsi:type="dcterms:W3CDTF">2021-10-23T13:01:53Z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379FDAEBB52A4D45850EA47AE1CA4266</vt:lpwstr>
  </property>
</Properties>
</file>