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8" w:firstLineChars="309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年三江县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“平安畅通县区”项目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支</w:t>
      </w:r>
      <w:r>
        <w:rPr>
          <w:rFonts w:hint="eastAsia" w:ascii="黑体" w:hAnsi="黑体" w:eastAsia="黑体" w:cs="黑体"/>
          <w:sz w:val="32"/>
          <w:szCs w:val="32"/>
        </w:rPr>
        <w:t>出绩效再评价结果</w:t>
      </w:r>
    </w:p>
    <w:tbl>
      <w:tblPr>
        <w:tblStyle w:val="8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创建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“平安畅通县区”项目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327.28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三江侗族自治县</w:t>
            </w: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eastAsia="zh-CN"/>
              </w:rPr>
              <w:t>公安局交通管理大队</w:t>
            </w:r>
          </w:p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="仿宋" w:hAnsi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83.93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三江县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val="en-US" w:eastAsia="zh-CN"/>
              </w:rPr>
              <w:t>公安局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交通大队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10"/>
                <w:sz w:val="24"/>
                <w:szCs w:val="24"/>
              </w:rPr>
              <w:t>三江县财政局《关于2020年部门预算支出绩效目标的批复》（三财政〔2020〕542号）等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文件精神，组织项目实施。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2020年“畅通平安县区”项目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支出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投入指标完成绩效目标；过程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方面，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项目管理、资金管理、绩效评价管理部份指标仍需要加强和提升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产出指标方面，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产出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数量与产出成本指标基本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能按照设定的绩效目标完成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产出质量及产出时效指标有待加强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；</w:t>
            </w:r>
            <w:bookmarkStart w:id="0" w:name="_Hlk7140961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效果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指标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满意度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达到设定的指标值。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1．项目绩效：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项目设定的产出数量指标完成情况为：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扣留违规车辆控制指标为4000辆，实际查处违规车辆3721辆，扣留车辆数3680完成92%，大于考核80%要求；租入警力用车辆指标为15辆，实际完成租用车辆15辆，保证工作效率；新增或维修隔离护栏指标为1100米，实际完成1100米以上，改善交通设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2.资金使用：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预算资金327.28万元，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年到位资金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305.52万元，资金到位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率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93.35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%，实际使用资金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305.52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万元，资金使用率100%。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1.加强源头隐患排查，完善交通设设。对辖区内路网影响安全出行的危险情况进行全面排查，特别是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重点路段、事故多发路段、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拥堵路段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和危险路段，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及早发现及时整治维修。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开展专项行动，严厉查处交通违法行为。结合辖区具体情况，先后开展了春运、三月三、清明、五一、中秋及国庆等专项行动，通过夜间检查、重点车辆检查、执法服务站检查、收费站检查、设置临时执勤点检查等措施，严厉打击酒后驾驶、无证驾驶、超员超载、报废车上路等各种违法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3.组建执法小分队，整治乡镇交通违法行为。执法小分队在重要节假日、乡镇圩日、各种民俗节气日，加强对重点乡镇及街道的执法巡逻、路检路查等，严厉查处各种交通违法行为，特别是摩托车违法行为。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内部控制管理制度不健全，项目执行存在管控不到位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内控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存在以下问题，一是有些制度没有正式发文，且除了与财务相关的两个制度外，均没有落款及时间；二是与预算绩效相关的两个制度，没有结合项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目单位实际情况制定，部分条款内容不完整，操作性不强，比如，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现有的资金使用管理办法是2014年7月30日制定，制度滞后性较严重，其中第二条 第(2)款“1000元以上的资金使用必须转账支付，无法转账的，需经大队班子会研究，形成的会议纪要附凭证作为依据，方可支付现金。”与现行的财务管理、资金支付方式不相适应。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《三江县公安局交通管理大队预算绩效管理实施细则》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没有结合项目单位实际情况制定，部分条款内容不完整，操作性不强。另外，项目单位没有制定收入管理制度及资产管理制度；三是内控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制度不完整，缺少收入管理制度、建设项目管理制度、采购管理制度、资产管理制度、合同管理制度等。由于制度不健全，制度约束不够，项目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质量监控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存在预算申请不规范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项目明细费用超出或者不及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预算、项目档案没有按规范单独立档等项目管制不理想等情况。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按《三江县公安局交通管理大队“三重一大”决策制度》规定“动用资金在两万元及以上”经大队班子讨论同意后，依照程序审批使用。检查发现大额资金支出记账凭证附件普遍缺班子讨论会议纪要，即“三重一大”集体决策制度执行不到位现象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2.项目部分费用会计核算列支依据不充分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项目单位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2020年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7月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记账凭证，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在“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务活动经费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行政支出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”科目列支警车燃油费21,756元，原始凭证依据是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预付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销售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加油IC卡的销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发票上没有列出购油数量、单价等信息，以预付性质的单据作为实际费用直接在费用科目列支；部分支出原始凭证不完善，如支付停车场租赁费缺租赁合同；支付聘请劳务人员薪酬无聘用合同。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不符合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行政事业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</w:rPr>
              <w:t>会计制度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>第十二条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</w:rPr>
              <w:t xml:space="preserve"> 行政单位应当以实际发生的经济业务或者事项为依据进行会计核算，如实反映各项会计要素的情况和结果，保证会计信息真实可靠。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contextualSpacing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项目绩效评价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自评工作不到位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项目单位虽然按照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县财政局的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开展项目支出绩效自评工作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撰写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项目自评报告，填写项目申报表、自评表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等材料，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自评报告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中“绩效评价指标分析”过于简单，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没有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实际情况进行客观评价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没有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分析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存在问题，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没有总结项目经验和教训。通过项目自评提高和改进今后工作指导作用不够。另外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相关的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佐证材料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提供不够及时、不够完整。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建立健全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内部空制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管理制度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强化自我管理内控意识</w:t>
            </w: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根据《行政事业单位内部控制规范》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规定，结合自身特点，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建立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完善本单位的内部控制管理体系，进一步规范预算收支管理、项目管理、采购管理、资产管理、合同管理等各业务环节管理行为，明确管理事项归口部门、管理岗位职责与权限、管理原则与内容范围、管理流程或措施等，确保不同项目不同业务的管理有制度可依、有制度保障，从而提高管理工作的效率及效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.准确把握会计准则及会计制度，提高会计核算水平。项目单位财务人员应经常重温学习《会计法》、《行政事业单位会计准则》及《行政事业单位会计制度》，认真领会和把握会计核算原则、范围、内容、要求等，进一步提高专业水平。如上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预付购买加油IC卡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支出，不是实际消耗的支出，按上述准则及制度的原则规定，购买时应先在“其他应收款”科目核算，待实际使用时，才能以实际加油的单据费用，从“其他应收款”科目，结转到实际支出的科目反映。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3.加强绩效评价管理工作，提高单位自评水平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项目单位应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高度重视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绩效评价管理工作，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加强预算绩效管理专业知识和业务技能的培训，提高预算绩效管理的工作水平。在绩效项目自评工作中，应对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项目总体实施情况进行全面总结评价，对各项绩效目标完成情况进行分析，其中对未完成绩效目标或偏离绩效目标的要进一步分析并说明原因，研究并提出改进措施，吸取教训，以评价结果促进今后工作。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仿宋" w:hAnsi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zc3ZGZiZTU3NDA5NzczOWEzMjBmMzUyZTM1YzAifQ=="/>
  </w:docVars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4B16009"/>
    <w:rsid w:val="0B306B3E"/>
    <w:rsid w:val="139E14DB"/>
    <w:rsid w:val="193118AA"/>
    <w:rsid w:val="25E13A8A"/>
    <w:rsid w:val="2CC75C46"/>
    <w:rsid w:val="2EF16FFA"/>
    <w:rsid w:val="33B9476B"/>
    <w:rsid w:val="382F4F02"/>
    <w:rsid w:val="585D434A"/>
    <w:rsid w:val="5CAA6EB2"/>
    <w:rsid w:val="5E2A5D60"/>
    <w:rsid w:val="5FA051A7"/>
    <w:rsid w:val="73134FCC"/>
    <w:rsid w:val="7BB83770"/>
    <w:rsid w:val="7EC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2347</Words>
  <Characters>2452</Characters>
  <Lines>13</Lines>
  <Paragraphs>3</Paragraphs>
  <TotalTime>3</TotalTime>
  <ScaleCrop>false</ScaleCrop>
  <LinksUpToDate>false</LinksUpToDate>
  <CharactersWithSpaces>2457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♡</cp:lastModifiedBy>
  <dcterms:modified xsi:type="dcterms:W3CDTF">2023-02-15T02:02:35Z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547421F3DE8B4B4FABB328A578CA495F</vt:lpwstr>
  </property>
</Properties>
</file>