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年三江县爱鸟坡移民小区项目支出绩效再评价结果</w:t>
      </w:r>
    </w:p>
    <w:tbl>
      <w:tblPr>
        <w:tblStyle w:val="8"/>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vAlign w:val="center"/>
          </w:tcPr>
          <w:p>
            <w:pPr>
              <w:jc w:val="left"/>
              <w:rPr>
                <w:rFonts w:ascii="仿宋" w:hAnsi="仿宋" w:cs="仿宋"/>
                <w:b w:val="0"/>
                <w:bCs/>
                <w:sz w:val="24"/>
                <w:szCs w:val="24"/>
              </w:rPr>
            </w:pPr>
            <w:r>
              <w:rPr>
                <w:rFonts w:hint="eastAsia" w:ascii="仿宋" w:hAnsi="仿宋" w:cs="仿宋"/>
                <w:b w:val="0"/>
                <w:bCs/>
                <w:sz w:val="24"/>
                <w:szCs w:val="24"/>
              </w:rPr>
              <w:t>三江县爱鸟坡移民小区道路及配套设施工程</w:t>
            </w:r>
          </w:p>
          <w:p>
            <w:pPr>
              <w:widowControl/>
              <w:spacing w:line="440" w:lineRule="exact"/>
              <w:jc w:val="left"/>
              <w:rPr>
                <w:rFonts w:hint="eastAsia" w:cs="宋体" w:asciiTheme="minorEastAsia" w:hAnsiTheme="minorEastAsia" w:eastAsia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预算金额（万元）</w:t>
            </w:r>
          </w:p>
        </w:tc>
        <w:tc>
          <w:tcPr>
            <w:tcW w:w="7796" w:type="dxa"/>
            <w:shd w:val="clear" w:color="auto" w:fill="auto"/>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349</w:t>
            </w:r>
            <w:r>
              <w:rPr>
                <w:rFonts w:hint="eastAsia" w:cs="宋体" w:asciiTheme="minorEastAsia" w:hAnsi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三江侗族自治县</w:t>
            </w:r>
            <w:r>
              <w:rPr>
                <w:rFonts w:hint="eastAsia" w:ascii="仿宋" w:hAnsi="仿宋" w:cs="仿宋"/>
                <w:b w:val="0"/>
                <w:bCs w:val="0"/>
                <w:sz w:val="24"/>
                <w:szCs w:val="24"/>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vAlign w:val="center"/>
          </w:tcPr>
          <w:p>
            <w:pPr>
              <w:widowControl/>
              <w:spacing w:line="440" w:lineRule="exact"/>
              <w:jc w:val="left"/>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得分：</w:t>
            </w:r>
            <w:r>
              <w:rPr>
                <w:rFonts w:hint="eastAsia" w:cs="宋体" w:asciiTheme="minorEastAsia" w:hAnsiTheme="minorEastAsia"/>
                <w:color w:val="000000"/>
                <w:kern w:val="0"/>
                <w:sz w:val="24"/>
                <w:szCs w:val="24"/>
                <w:lang w:val="en-US" w:eastAsia="zh-CN"/>
              </w:rPr>
              <w:t>87.28</w:t>
            </w:r>
            <w:r>
              <w:rPr>
                <w:rFonts w:hint="eastAsia" w:asciiTheme="minorEastAsia" w:hAnsiTheme="minorEastAsia"/>
                <w:bCs/>
                <w:sz w:val="24"/>
                <w:szCs w:val="24"/>
              </w:rPr>
              <w:t xml:space="preserve">分  </w:t>
            </w:r>
            <w:r>
              <w:rPr>
                <w:rFonts w:hint="eastAsia" w:cs="宋体" w:asciiTheme="minorEastAsia" w:hAnsiTheme="minorEastAsia"/>
                <w:color w:val="000000"/>
                <w:kern w:val="0"/>
                <w:sz w:val="24"/>
                <w:szCs w:val="24"/>
              </w:rPr>
              <w:t>评价等级：</w:t>
            </w:r>
            <w:r>
              <w:rPr>
                <w:rFonts w:hint="eastAsia" w:cs="宋体" w:asciiTheme="minorEastAsia" w:hAnsiTheme="minorEastAsia"/>
                <w:color w:val="000000"/>
                <w:kern w:val="0"/>
                <w:sz w:val="24"/>
                <w:szCs w:val="24"/>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color w:val="000000"/>
                <w:kern w:val="0"/>
                <w:sz w:val="24"/>
                <w:szCs w:val="24"/>
              </w:rPr>
            </w:pPr>
            <w:r>
              <w:rPr>
                <w:rFonts w:hint="eastAsia" w:ascii="仿宋" w:hAnsi="仿宋" w:cs="宋体"/>
                <w:kern w:val="0"/>
                <w:sz w:val="24"/>
                <w:szCs w:val="24"/>
              </w:rPr>
              <w:t>投入指标方面，项目立项依据充分，目标明确、合理，项目资金按时列入年初预算，项目计划按规定上报县政府并得到批准，并获县发改委立项批复，完成绩效目标较好。过程方面，项目实施基本能按规定程序开展，但单位内部管理制度制定欠规范和完整，会计核算还不够规范；产出指标绩效目标大部分完成较好，但项目未能按照合同约定时间竣工验收；效果方面，社会效益指标均能完成绩效目标计划，社会公众或服务对象满意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contextualSpacing/>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1．项目绩效：</w:t>
            </w:r>
            <w:r>
              <w:rPr>
                <w:rFonts w:hint="eastAsia" w:ascii="仿宋" w:hAnsi="仿宋"/>
                <w:bCs/>
                <w:sz w:val="24"/>
                <w:szCs w:val="24"/>
              </w:rPr>
              <w:t>建设内容包括道路工程、给水工程、排水工程，工程主要建设道路面积3597.5平米，人行道及铺装1299.12平米，给水管308.93米，雨水管509.59米，污水管454.65米，根据竣工验收报告，项目</w:t>
            </w:r>
            <w:r>
              <w:rPr>
                <w:rFonts w:hint="eastAsia" w:ascii="仿宋" w:hAnsi="仿宋"/>
                <w:bCs/>
                <w:sz w:val="24"/>
                <w:szCs w:val="24"/>
                <w:lang w:val="en-US" w:eastAsia="zh-CN"/>
              </w:rPr>
              <w:t>完工</w:t>
            </w:r>
            <w:r>
              <w:rPr>
                <w:rFonts w:hint="eastAsia" w:ascii="仿宋" w:hAnsi="仿宋"/>
                <w:bCs/>
                <w:sz w:val="24"/>
                <w:szCs w:val="24"/>
              </w:rPr>
              <w:t>达到目标值</w:t>
            </w:r>
            <w:r>
              <w:rPr>
                <w:rFonts w:hint="eastAsia" w:ascii="仿宋" w:hAnsi="仿宋"/>
                <w:bCs/>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b/>
                <w:sz w:val="24"/>
                <w:szCs w:val="24"/>
                <w:lang w:eastAsia="zh-CN"/>
              </w:rPr>
            </w:pPr>
            <w:r>
              <w:rPr>
                <w:rFonts w:hint="eastAsia" w:asciiTheme="minorEastAsia" w:hAnsiTheme="minorEastAsia"/>
                <w:b w:val="0"/>
                <w:bCs/>
                <w:sz w:val="24"/>
                <w:szCs w:val="24"/>
              </w:rPr>
              <w:t>2.资金使用：</w:t>
            </w:r>
            <w:r>
              <w:rPr>
                <w:rFonts w:hint="eastAsia"/>
                <w:sz w:val="24"/>
                <w:szCs w:val="24"/>
              </w:rPr>
              <w:t>2020年初部门预算安排项目资金349万元</w:t>
            </w:r>
            <w:r>
              <w:rPr>
                <w:rFonts w:hint="eastAsia"/>
                <w:sz w:val="24"/>
                <w:szCs w:val="24"/>
                <w:lang w:eastAsia="zh-CN"/>
              </w:rPr>
              <w:t>，</w:t>
            </w:r>
            <w:r>
              <w:rPr>
                <w:rFonts w:hint="eastAsia"/>
                <w:sz w:val="24"/>
                <w:szCs w:val="24"/>
              </w:rPr>
              <w:t>项目资金到位300.2万元，实际支出共计244.4万元</w:t>
            </w:r>
            <w:r>
              <w:rPr>
                <w:rFonts w:hint="eastAsia"/>
                <w:sz w:val="24"/>
                <w:szCs w:val="24"/>
                <w:lang w:eastAsia="zh-CN"/>
              </w:rPr>
              <w:t>，</w:t>
            </w:r>
            <w:r>
              <w:rPr>
                <w:rFonts w:hint="eastAsia" w:ascii="仿宋" w:hAnsi="仿宋"/>
                <w:bCs/>
                <w:sz w:val="24"/>
                <w:szCs w:val="24"/>
              </w:rPr>
              <w:t>2020年12月31日支出进度为70.02%</w:t>
            </w:r>
            <w:r>
              <w:rPr>
                <w:rFonts w:hint="eastAsia" w:ascii="仿宋" w:hAnsi="仿宋"/>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5"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仿宋" w:hAnsi="仿宋" w:cs="仿宋"/>
                <w:b w:val="0"/>
                <w:bCs w:val="0"/>
                <w:sz w:val="24"/>
                <w:szCs w:val="24"/>
              </w:rPr>
              <w:t>1.项目前期工作到位。</w:t>
            </w:r>
            <w:r>
              <w:rPr>
                <w:rFonts w:hint="eastAsia" w:asciiTheme="minorEastAsia" w:hAnsiTheme="minorEastAsia" w:eastAsiaTheme="minorEastAsia" w:cstheme="minorEastAsia"/>
                <w:b w:val="0"/>
                <w:bCs w:val="0"/>
                <w:sz w:val="24"/>
                <w:szCs w:val="24"/>
              </w:rPr>
              <w:t>三江县住房和城乡建设局于2019年1月 4 日向三江县人民政府提交《关于建设爱鸟坡移民小区道路及配套设施工程项目的请示》（三建报〔2019〕5号），获县政府常务会议批准。2019年3月7日由广西天柱建设管理有限公司编制项目计划书，报三江县发改委立项，县发改委于2019年9月20日下达《关于爱鸟坡移民小区道路及配套设施工程项目可行性研究报告的批复》（三发改字〔2019〕139号）同意立项，2019年11月11日经财政投资评审中心评审，核准金额300.14万元。2020年4月10日，三江县财政局《关于下达2020年部门预算的通知》（三财政〔2020〕407号）批复三江侗族自治县住房和城乡建设局2020年初部门预算安排项目资金349万元专项用于三江县爱鸟坡移民小区道路及配套设施工程项目。项目设立从改善民生出发，切合实际，立项依据充分，前期具体工作实施流程规范、程序完整合规。</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b w:val="0"/>
                <w:bCs w:val="0"/>
                <w:color w:val="000000"/>
                <w:kern w:val="0"/>
                <w:sz w:val="24"/>
                <w:szCs w:val="24"/>
              </w:rPr>
            </w:pPr>
            <w:r>
              <w:rPr>
                <w:rFonts w:hint="eastAsia"/>
                <w:b w:val="0"/>
                <w:bCs w:val="0"/>
                <w:sz w:val="24"/>
                <w:szCs w:val="24"/>
              </w:rPr>
              <w:t>项目建设过程规范。</w:t>
            </w:r>
            <w:r>
              <w:rPr>
                <w:rFonts w:hint="eastAsia" w:ascii="仿宋" w:hAnsi="仿宋"/>
                <w:b w:val="0"/>
                <w:bCs w:val="0"/>
                <w:sz w:val="24"/>
                <w:szCs w:val="24"/>
              </w:rPr>
              <w:t>三江县住房和城乡建设局</w:t>
            </w:r>
            <w:r>
              <w:rPr>
                <w:rFonts w:hint="eastAsia"/>
                <w:b w:val="0"/>
                <w:bCs w:val="0"/>
                <w:sz w:val="24"/>
                <w:szCs w:val="24"/>
              </w:rPr>
              <w:t>根据三江侗族自治县人民政府常务会议《决定通知》（〔2019〕59号），爱鸟坡移民小区道路及配套设施工程项目由三江县</w:t>
            </w:r>
            <w:r>
              <w:rPr>
                <w:rFonts w:hint="eastAsia" w:ascii="仿宋" w:hAnsi="仿宋"/>
                <w:b w:val="0"/>
                <w:bCs w:val="0"/>
                <w:sz w:val="24"/>
                <w:szCs w:val="24"/>
              </w:rPr>
              <w:t>程阳桥城建投资开发有限公司代建</w:t>
            </w:r>
            <w:r>
              <w:rPr>
                <w:rFonts w:hint="eastAsia"/>
                <w:b w:val="0"/>
                <w:bCs w:val="0"/>
                <w:sz w:val="24"/>
                <w:szCs w:val="24"/>
              </w:rPr>
              <w:t>，县城建公司按规定委托广西鑫磐工程项目管理有限公司以询价方式进行公开招投标，中标单位三江县第二建筑工程公司，中标价为297.14万元，项目施工从2019年12月26日起，竣工验收日期为2020年11月6日，经验收小组验收项目符合设计要求，验收小组出具了较为详细的验收报告，工程结算价按规定报三江县财政投资评审办公室进行评审。整个项目建设流程均按照相关规定规范进行，制度执行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预算执行的及时性和规范性方面有待加强</w:t>
            </w:r>
            <w:r>
              <w:rPr>
                <w:rFonts w:hint="eastAsia" w:asciiTheme="minorEastAsia" w:hAnsiTheme="minorEastAsia" w:eastAsiaTheme="minorEastAsia" w:cstheme="minorEastAsia"/>
                <w:b w:val="0"/>
                <w:bCs w:val="0"/>
                <w:sz w:val="24"/>
                <w:szCs w:val="24"/>
              </w:rPr>
              <w:t>。（1）三江县住建局的爱鸟坡移民小区道路及配套设施工程项目由三江县程阳桥城建投资开发有限公司代建，签订代建协议时间为2020年4月8日签订，项目开工时间2019年12月26日，</w:t>
            </w:r>
            <w:r>
              <w:rPr>
                <w:rFonts w:hint="eastAsia" w:asciiTheme="minorEastAsia" w:hAnsiTheme="minorEastAsia" w:eastAsiaTheme="minorEastAsia" w:cstheme="minorEastAsia"/>
                <w:b w:val="0"/>
                <w:bCs w:val="0"/>
                <w:sz w:val="24"/>
                <w:szCs w:val="24"/>
                <w:highlight w:val="none"/>
              </w:rPr>
              <w:t>三江县程阳桥城建投资开发有限公司在代建协议未签订，项目主体身份未确认的情况下，</w:t>
            </w:r>
            <w:r>
              <w:rPr>
                <w:rFonts w:hint="eastAsia" w:asciiTheme="minorEastAsia" w:hAnsiTheme="minorEastAsia" w:eastAsiaTheme="minorEastAsia" w:cstheme="minorEastAsia"/>
                <w:b w:val="0"/>
                <w:bCs w:val="0"/>
                <w:sz w:val="24"/>
                <w:szCs w:val="24"/>
                <w:highlight w:val="none"/>
                <w:lang w:val="en-US" w:eastAsia="zh-CN"/>
              </w:rPr>
              <w:t>于2019年12月25日与</w:t>
            </w:r>
            <w:r>
              <w:rPr>
                <w:rFonts w:hint="eastAsia" w:asciiTheme="minorEastAsia" w:hAnsiTheme="minorEastAsia" w:eastAsiaTheme="minorEastAsia" w:cstheme="minorEastAsia"/>
                <w:b w:val="0"/>
                <w:bCs w:val="0"/>
                <w:sz w:val="24"/>
                <w:szCs w:val="24"/>
                <w:highlight w:val="none"/>
              </w:rPr>
              <w:t>施工方签订施工合同，</w:t>
            </w:r>
            <w:r>
              <w:rPr>
                <w:rFonts w:hint="eastAsia" w:asciiTheme="minorEastAsia" w:hAnsiTheme="minorEastAsia" w:eastAsiaTheme="minorEastAsia" w:cstheme="minorEastAsia"/>
                <w:b w:val="0"/>
                <w:bCs w:val="0"/>
                <w:sz w:val="24"/>
                <w:szCs w:val="24"/>
              </w:rPr>
              <w:t>程序不合规。（2）本项目承建商为三江县第二建筑工程公司 ，按合同约定建设期为2019年12月26日-2020年6月26日，但实际竣工日期为2020年11月6日，项目延期五个月，合同执行力度不强，项目主管部门和代建部门</w:t>
            </w:r>
            <w:r>
              <w:rPr>
                <w:rFonts w:hint="eastAsia" w:asciiTheme="minorEastAsia" w:hAnsiTheme="minorEastAsia" w:eastAsiaTheme="minorEastAsia" w:cstheme="minorEastAsia"/>
                <w:b w:val="0"/>
                <w:bCs w:val="0"/>
                <w:sz w:val="24"/>
                <w:szCs w:val="24"/>
                <w:lang w:val="en-US" w:eastAsia="zh-CN"/>
              </w:rPr>
              <w:t>合同履行</w:t>
            </w:r>
            <w:r>
              <w:rPr>
                <w:rFonts w:hint="eastAsia" w:asciiTheme="minorEastAsia" w:hAnsiTheme="minorEastAsia" w:eastAsiaTheme="minorEastAsia" w:cstheme="minorEastAsia"/>
                <w:b w:val="0"/>
                <w:bCs w:val="0"/>
                <w:sz w:val="24"/>
                <w:szCs w:val="24"/>
              </w:rPr>
              <w:t>监督不到位。</w:t>
            </w:r>
          </w:p>
          <w:p>
            <w:pPr>
              <w:pStyle w:val="3"/>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2.单位内部控制制度欠缺。三江县住房和城乡建设局建立有</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财务管理制度</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对资金使用管理和监督有较为详细的规定，但作为一个管理三江县住房和城乡建设的业务主管部门，未建立一整套完善的内部控制体系，内部控制制度缺失，特别是未制定本部门的《建设管理制度》《三重一大》审批制度</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固定资产管理制度》的内容为政府采购制度的内容，张冠李戴，《政府采购管理制度》的制定未做认真研究，而是直接套用外单位的制度，可操作性不强。三江县住建局对本单位的内部管理重视程度不够，内控意识有待加强。</w:t>
            </w:r>
          </w:p>
          <w:p>
            <w:pPr>
              <w:pStyle w:val="3"/>
              <w:keepNext w:val="0"/>
              <w:keepLines w:val="0"/>
              <w:pageBreakBefore w:val="0"/>
              <w:numPr>
                <w:ilvl w:val="0"/>
                <w:numId w:val="1"/>
              </w:numPr>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项目测算欠准确。</w:t>
            </w:r>
            <w:r>
              <w:rPr>
                <w:rFonts w:hint="eastAsia" w:asciiTheme="minorEastAsia" w:hAnsiTheme="minorEastAsia" w:eastAsiaTheme="minorEastAsia" w:cstheme="minorEastAsia"/>
                <w:b w:val="0"/>
                <w:bCs w:val="0"/>
                <w:sz w:val="24"/>
                <w:szCs w:val="24"/>
              </w:rPr>
              <w:t>三江县爱鸟坡移民小区道路及配套设施工程项目</w:t>
            </w:r>
            <w:r>
              <w:rPr>
                <w:rFonts w:hint="eastAsia" w:asciiTheme="minorEastAsia" w:hAnsiTheme="minorEastAsia" w:eastAsiaTheme="minorEastAsia" w:cstheme="minorEastAsia"/>
                <w:b w:val="0"/>
                <w:bCs w:val="0"/>
                <w:kern w:val="0"/>
                <w:sz w:val="24"/>
                <w:szCs w:val="24"/>
              </w:rPr>
              <w:t>报县政府申请项目资金400万元，报发改委申请项目可研预算414.43万元，经财政投资评审中心审定，送审价384.52万元，核定工程价300.14万元，核减84.38万元，通过招投标工程中标价297.14万元，财政投资评最终结算价227.11万元，项目从申报到最终实际造价差距太大，造成预算不准确。</w:t>
            </w:r>
          </w:p>
          <w:p>
            <w:pPr>
              <w:pStyle w:val="3"/>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cs="宋体" w:asciiTheme="minorEastAsia" w:hAnsiTheme="minorEastAsia"/>
                <w:b w:val="0"/>
                <w:bCs w:val="0"/>
                <w:color w:val="000000"/>
                <w:kern w:val="0"/>
                <w:sz w:val="24"/>
                <w:szCs w:val="24"/>
              </w:rPr>
            </w:pPr>
            <w:r>
              <w:rPr>
                <w:rFonts w:hint="eastAsia" w:asciiTheme="minorEastAsia" w:hAnsiTheme="minorEastAsia" w:eastAsiaTheme="minorEastAsia" w:cstheme="minorEastAsia"/>
                <w:b w:val="0"/>
                <w:bCs w:val="0"/>
                <w:kern w:val="0"/>
                <w:sz w:val="24"/>
                <w:szCs w:val="24"/>
              </w:rPr>
              <w:t>4.会计基础工作需要进一步规范和强化。经核查，三江县住房和城乡建设局</w:t>
            </w:r>
            <w:r>
              <w:rPr>
                <w:rFonts w:hint="eastAsia" w:asciiTheme="minorEastAsia" w:hAnsiTheme="minorEastAsia" w:eastAsiaTheme="minorEastAsia" w:cstheme="minorEastAsia"/>
                <w:b w:val="0"/>
                <w:bCs w:val="0"/>
                <w:sz w:val="24"/>
                <w:szCs w:val="24"/>
              </w:rPr>
              <w:t>制定有相应的</w:t>
            </w:r>
            <w:r>
              <w:rPr>
                <w:rFonts w:hint="eastAsia" w:asciiTheme="minorEastAsia" w:hAnsiTheme="minorEastAsia" w:eastAsiaTheme="minorEastAsia" w:cstheme="minorEastAsia"/>
                <w:b w:val="0"/>
                <w:bCs w:val="0"/>
                <w:sz w:val="24"/>
                <w:szCs w:val="24"/>
                <w:lang w:val="en-US" w:eastAsia="zh-CN"/>
              </w:rPr>
              <w:t>财务管理</w:t>
            </w:r>
            <w:r>
              <w:rPr>
                <w:rFonts w:hint="eastAsia" w:asciiTheme="minorEastAsia" w:hAnsiTheme="minorEastAsia" w:eastAsiaTheme="minorEastAsia" w:cstheme="minorEastAsia"/>
                <w:b w:val="0"/>
                <w:bCs w:val="0"/>
                <w:sz w:val="24"/>
                <w:szCs w:val="24"/>
              </w:rPr>
              <w:t>制度并</w:t>
            </w:r>
            <w:r>
              <w:rPr>
                <w:rFonts w:hint="eastAsia" w:asciiTheme="minorEastAsia" w:hAnsiTheme="minorEastAsia" w:eastAsiaTheme="minorEastAsia" w:cstheme="minorEastAsia"/>
                <w:b w:val="0"/>
                <w:bCs w:val="0"/>
                <w:sz w:val="24"/>
                <w:szCs w:val="24"/>
                <w:lang w:val="en-US" w:eastAsia="zh-CN"/>
              </w:rPr>
              <w:t>能遵照</w:t>
            </w:r>
            <w:r>
              <w:rPr>
                <w:rFonts w:hint="eastAsia" w:asciiTheme="minorEastAsia" w:hAnsiTheme="minorEastAsia" w:eastAsiaTheme="minorEastAsia" w:cstheme="minorEastAsia"/>
                <w:b w:val="0"/>
                <w:bCs w:val="0"/>
                <w:sz w:val="24"/>
                <w:szCs w:val="24"/>
              </w:rPr>
              <w:t>执行，但在会计业务处理方面，仍存在部分部分旅差费报销单无部门主管意见、无领导审批意见</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大额资金开支无集体讨论相关记录的现象，报销单据填写要素不全，审批程序不够完善，会计基础规范性还需进一步加强。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vAlign w:val="center"/>
          </w:tcPr>
          <w:p>
            <w:pPr>
              <w:keepNext w:val="0"/>
              <w:keepLines w:val="0"/>
              <w:pageBreakBefore w:val="0"/>
              <w:numPr>
                <w:numId w:val="0"/>
              </w:numPr>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cstheme="minorEastAsia"/>
                <w:b w:val="0"/>
                <w:bCs w:val="0"/>
                <w:sz w:val="24"/>
                <w:szCs w:val="24"/>
                <w:highlight w:val="none"/>
                <w:u w:val="none"/>
                <w:lang w:val="en-US" w:eastAsia="zh-CN"/>
              </w:rPr>
              <w:t>1.</w:t>
            </w:r>
            <w:r>
              <w:rPr>
                <w:rFonts w:hint="eastAsia" w:asciiTheme="minorEastAsia" w:hAnsiTheme="minorEastAsia" w:eastAsiaTheme="minorEastAsia" w:cstheme="minorEastAsia"/>
                <w:b w:val="0"/>
                <w:bCs w:val="0"/>
                <w:sz w:val="24"/>
                <w:szCs w:val="24"/>
                <w:highlight w:val="none"/>
                <w:u w:val="none"/>
              </w:rPr>
              <w:t>加强单位制度建设，</w:t>
            </w:r>
            <w:r>
              <w:rPr>
                <w:rFonts w:hint="eastAsia" w:asciiTheme="minorEastAsia" w:hAnsiTheme="minorEastAsia" w:eastAsiaTheme="minorEastAsia" w:cstheme="minorEastAsia"/>
                <w:b w:val="0"/>
                <w:bCs w:val="0"/>
                <w:kern w:val="0"/>
                <w:sz w:val="24"/>
                <w:szCs w:val="24"/>
                <w:highlight w:val="none"/>
                <w:u w:val="none"/>
              </w:rPr>
              <w:t>提高内部控制管理水平。</w:t>
            </w:r>
            <w:r>
              <w:rPr>
                <w:rFonts w:hint="eastAsia" w:asciiTheme="minorEastAsia" w:hAnsiTheme="minorEastAsia" w:eastAsiaTheme="minorEastAsia" w:cstheme="minorEastAsia"/>
                <w:b w:val="0"/>
                <w:bCs w:val="0"/>
                <w:sz w:val="24"/>
                <w:szCs w:val="24"/>
                <w:highlight w:val="none"/>
                <w:u w:val="none"/>
              </w:rPr>
              <w:t xml:space="preserve"> 三江县住建局作为全县住房和城乡建设主管部门，应重视本单位的内部管理，加强制度建设，特别是《项目建设管理制度》和《三重一大》审批制度的建设，严格按照财政部《行政事业单位内部控制规范》（试行）</w:t>
            </w:r>
            <w:bookmarkStart w:id="0" w:name="_GoBack"/>
            <w:bookmarkEnd w:id="0"/>
            <w:r>
              <w:rPr>
                <w:rFonts w:hint="eastAsia" w:asciiTheme="minorEastAsia" w:hAnsiTheme="minorEastAsia" w:eastAsiaTheme="minorEastAsia" w:cstheme="minorEastAsia"/>
                <w:b w:val="0"/>
                <w:bCs w:val="0"/>
                <w:sz w:val="24"/>
                <w:szCs w:val="24"/>
                <w:highlight w:val="none"/>
                <w:u w:val="none"/>
              </w:rPr>
              <w:t>文件要求，建立适合本单位实际情况的内部控制体系，包括：风险评估和控制方法、单位层面内部控制、业务层面内部控制、评价与监督。</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rPr>
              <w:tab/>
            </w:r>
            <w:r>
              <w:rPr>
                <w:rFonts w:hint="eastAsia" w:asciiTheme="minorEastAsia" w:hAnsiTheme="minorEastAsia" w:eastAsiaTheme="minorEastAsia" w:cstheme="minorEastAsia"/>
                <w:b w:val="0"/>
                <w:bCs w:val="0"/>
                <w:kern w:val="0"/>
                <w:sz w:val="24"/>
                <w:szCs w:val="24"/>
                <w:highlight w:val="none"/>
                <w:u w:val="none"/>
              </w:rPr>
              <w:t>进一步加强财政资金的使用管理，提高资金使用效率。</w:t>
            </w:r>
            <w:r>
              <w:rPr>
                <w:rFonts w:hint="eastAsia" w:asciiTheme="minorEastAsia" w:hAnsiTheme="minorEastAsia" w:eastAsiaTheme="minorEastAsia" w:cstheme="minorEastAsia"/>
                <w:b w:val="0"/>
                <w:bCs w:val="0"/>
                <w:sz w:val="24"/>
                <w:szCs w:val="24"/>
                <w:highlight w:val="none"/>
                <w:u w:val="none"/>
              </w:rPr>
              <w:t>三江县住</w:t>
            </w:r>
            <w:r>
              <w:rPr>
                <w:rFonts w:hint="eastAsia" w:asciiTheme="minorEastAsia" w:hAnsiTheme="minorEastAsia" w:eastAsiaTheme="minorEastAsia" w:cstheme="minorEastAsia"/>
                <w:b w:val="0"/>
                <w:bCs w:val="0"/>
                <w:sz w:val="24"/>
                <w:szCs w:val="24"/>
                <w:highlight w:val="none"/>
              </w:rPr>
              <w:t>房和城乡建设局应</w:t>
            </w:r>
            <w:r>
              <w:rPr>
                <w:rFonts w:hint="eastAsia" w:asciiTheme="minorEastAsia" w:hAnsiTheme="minorEastAsia" w:eastAsiaTheme="minorEastAsia" w:cstheme="minorEastAsia"/>
                <w:b w:val="0"/>
                <w:bCs w:val="0"/>
                <w:kern w:val="0"/>
                <w:sz w:val="24"/>
                <w:szCs w:val="24"/>
                <w:highlight w:val="none"/>
              </w:rPr>
              <w:t>进一步加强财政资金的管理使用，加强项目前期调研，</w:t>
            </w:r>
            <w:r>
              <w:rPr>
                <w:rFonts w:hint="eastAsia" w:asciiTheme="minorEastAsia" w:hAnsiTheme="minorEastAsia" w:eastAsiaTheme="minorEastAsia" w:cstheme="minorEastAsia"/>
                <w:b w:val="0"/>
                <w:bCs w:val="0"/>
                <w:kern w:val="0"/>
                <w:sz w:val="24"/>
                <w:szCs w:val="24"/>
              </w:rPr>
              <w:t>提高项目预算编制的科学性、准确性，积极督促代建部门及时完善各项手续，严格按照合同约定进行项目施工，确保财政资金的合理安排和使用，提高资金使用效率。</w:t>
            </w:r>
          </w:p>
          <w:p>
            <w:pPr>
              <w:keepNext w:val="0"/>
              <w:keepLines w:val="0"/>
              <w:pageBreakBefore w:val="0"/>
              <w:tabs>
                <w:tab w:val="left" w:pos="1107"/>
              </w:tabs>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3.强化财务管理制度执行力度，</w:t>
            </w:r>
            <w:r>
              <w:rPr>
                <w:rFonts w:hint="eastAsia" w:asciiTheme="minorEastAsia" w:hAnsiTheme="minorEastAsia" w:eastAsiaTheme="minorEastAsia" w:cstheme="minorEastAsia"/>
                <w:b w:val="0"/>
                <w:bCs w:val="0"/>
                <w:kern w:val="0"/>
                <w:sz w:val="24"/>
                <w:szCs w:val="24"/>
              </w:rPr>
              <w:t>进一步加强</w:t>
            </w:r>
            <w:r>
              <w:rPr>
                <w:rFonts w:hint="eastAsia" w:asciiTheme="minorEastAsia" w:hAnsiTheme="minorEastAsia" w:eastAsiaTheme="minorEastAsia" w:cstheme="minorEastAsia"/>
                <w:b w:val="0"/>
                <w:bCs w:val="0"/>
                <w:sz w:val="24"/>
                <w:szCs w:val="24"/>
              </w:rPr>
              <w:t>会计基础规范工作。</w:t>
            </w:r>
            <w:r>
              <w:rPr>
                <w:rStyle w:val="13"/>
                <w:rFonts w:hint="eastAsia" w:asciiTheme="minorEastAsia" w:hAnsiTheme="minorEastAsia" w:eastAsiaTheme="minorEastAsia" w:cstheme="minorEastAsia"/>
                <w:b w:val="0"/>
                <w:bCs w:val="0"/>
                <w:color w:val="000000"/>
                <w:sz w:val="24"/>
                <w:szCs w:val="24"/>
                <w:u w:val="single" w:color="FFFFFF"/>
              </w:rPr>
              <w:t>三江县住建局</w:t>
            </w:r>
            <w:r>
              <w:rPr>
                <w:rFonts w:hint="eastAsia" w:asciiTheme="minorEastAsia" w:hAnsiTheme="minorEastAsia" w:eastAsiaTheme="minorEastAsia" w:cstheme="minorEastAsia"/>
                <w:b w:val="0"/>
                <w:bCs w:val="0"/>
                <w:sz w:val="24"/>
                <w:szCs w:val="24"/>
              </w:rPr>
              <w:t>应重视单位内部财务管理，不断提高财会人员的综合素质。财务人员积极参加《</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"https://www.baidu.com/s?wd=%E3%80%8A%E4%BC%9A%E8%AE%A1%E6%B3%95%E3%80%8B&amp;tn=SE_PcZhidaonwhc_ngpagmjz&amp;rsv_dl=gh_pc_zhidao" \t "_blank"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会计法》</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t>、《预算法》、</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HYPERLINK "https://www.baidu.com/s?wd=%E3%80%8A%E4%BC%9A%E8%AE%A1%E5%9F%BA%E7%A1%80%E5%B7%A5%E4%BD%9C%E8%A7%84%E8%8C%83%E3%80%8B&amp;tn=SE_PcZhidaonwhc_ngpagmjz&amp;rsv_dl=gh_pc_zhidao" \t "_blank" </w:instrText>
            </w:r>
            <w:r>
              <w:rPr>
                <w:rFonts w:hint="eastAsia" w:asciiTheme="minorEastAsia" w:hAnsiTheme="minorEastAsia" w:eastAsiaTheme="minorEastAsia" w:cstheme="minorEastAsia"/>
                <w:b w:val="0"/>
                <w:bCs w:val="0"/>
                <w:sz w:val="24"/>
                <w:szCs w:val="24"/>
              </w:rPr>
              <w:fldChar w:fldCharType="separate"/>
            </w:r>
            <w:r>
              <w:rPr>
                <w:rFonts w:hint="eastAsia" w:asciiTheme="minorEastAsia" w:hAnsiTheme="minorEastAsia" w:eastAsiaTheme="minorEastAsia" w:cstheme="minorEastAsia"/>
                <w:b w:val="0"/>
                <w:bCs w:val="0"/>
                <w:sz w:val="24"/>
                <w:szCs w:val="24"/>
              </w:rPr>
              <w:t>《会计基础工作规范》</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t>、《行政事业单位内部控制规范》相关政策法规的业务学习和培训，切实提高会计基础规范工作，进一步强化财政资金特别是大额资金支出的审核力度，确保财政资金能安全、有效的使用，真正发挥财政扶贫资金在住房和城乡建设中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仿宋" w:hAnsi="仿宋" w:cs="仿宋"/>
                <w:b w:val="0"/>
                <w:bCs w:val="0"/>
                <w:sz w:val="24"/>
                <w:szCs w:val="24"/>
              </w:rPr>
            </w:pPr>
            <w:r>
              <w:rPr>
                <w:rFonts w:hint="eastAsia" w:cs="宋体" w:asciiTheme="minorEastAsia" w:hAnsiTheme="minorEastAsia"/>
                <w:b w:val="0"/>
                <w:bCs w:val="0"/>
                <w:color w:val="000000"/>
                <w:kern w:val="0"/>
                <w:sz w:val="24"/>
                <w:szCs w:val="24"/>
              </w:rPr>
              <w:t>　</w:t>
            </w: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15</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7D638"/>
    <w:multiLevelType w:val="singleLevel"/>
    <w:tmpl w:val="DCC7D638"/>
    <w:lvl w:ilvl="0" w:tentative="0">
      <w:start w:val="2"/>
      <w:numFmt w:val="decimal"/>
      <w:suff w:val="space"/>
      <w:lvlText w:val="%1."/>
      <w:lvlJc w:val="left"/>
    </w:lvl>
  </w:abstractNum>
  <w:abstractNum w:abstractNumId="1">
    <w:nsid w:val="464051D2"/>
    <w:multiLevelType w:val="singleLevel"/>
    <w:tmpl w:val="464051D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1FF3D0C"/>
    <w:rsid w:val="04B16009"/>
    <w:rsid w:val="0A3C2212"/>
    <w:rsid w:val="0B306B3E"/>
    <w:rsid w:val="256502A2"/>
    <w:rsid w:val="2BB329A9"/>
    <w:rsid w:val="2D990CF7"/>
    <w:rsid w:val="480D69EE"/>
    <w:rsid w:val="4AA448A8"/>
    <w:rsid w:val="57A76ACB"/>
    <w:rsid w:val="585D434A"/>
    <w:rsid w:val="5979768D"/>
    <w:rsid w:val="5CAA6EB2"/>
    <w:rsid w:val="5E2A5D60"/>
    <w:rsid w:val="643A6FE6"/>
    <w:rsid w:val="73134FCC"/>
    <w:rsid w:val="7BB83770"/>
    <w:rsid w:val="7E39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eastAsia="宋体"/>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0">
    <w:name w:val="页眉 Char"/>
    <w:basedOn w:val="6"/>
    <w:link w:val="5"/>
    <w:qFormat/>
    <w:uiPriority w:val="99"/>
    <w:rPr>
      <w:rFonts w:asciiTheme="minorHAnsi" w:hAnsiTheme="minorHAnsi" w:eastAsiaTheme="minorEastAsia" w:cstheme="minorBidi"/>
      <w:kern w:val="2"/>
      <w:sz w:val="18"/>
      <w:szCs w:val="18"/>
    </w:rPr>
  </w:style>
  <w:style w:type="character" w:customStyle="1" w:styleId="11">
    <w:name w:val="页脚 Char"/>
    <w:basedOn w:val="6"/>
    <w:link w:val="4"/>
    <w:qFormat/>
    <w:uiPriority w:val="99"/>
    <w:rPr>
      <w:rFonts w:asciiTheme="minorHAnsi" w:hAnsiTheme="minorHAnsi" w:eastAsiaTheme="minorEastAsia" w:cstheme="minorBidi"/>
      <w:kern w:val="2"/>
      <w:sz w:val="18"/>
      <w:szCs w:val="18"/>
    </w:rPr>
  </w:style>
  <w:style w:type="paragraph" w:styleId="12">
    <w:name w:val="List Paragraph"/>
    <w:basedOn w:val="1"/>
    <w:unhideWhenUsed/>
    <w:uiPriority w:val="99"/>
    <w:pPr>
      <w:ind w:firstLine="420" w:firstLineChars="200"/>
    </w:pPr>
  </w:style>
  <w:style w:type="character" w:customStyle="1" w:styleId="13">
    <w:name w:val="正文文本_"/>
    <w:qFormat/>
    <w:uiPriority w:val="99"/>
    <w:rPr>
      <w:rFonts w:hint="eastAsia" w:ascii="MingLiU" w:eastAsia="MingLiU" w:cs="MingLiU"/>
      <w:sz w:val="27"/>
      <w:szCs w:val="27"/>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1561</Characters>
  <Lines>13</Lines>
  <Paragraphs>3</Paragraphs>
  <TotalTime>10</TotalTime>
  <ScaleCrop>false</ScaleCrop>
  <LinksUpToDate>false</LinksUpToDate>
  <CharactersWithSpaces>1831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周献逸</cp:lastModifiedBy>
  <dcterms:modified xsi:type="dcterms:W3CDTF">2021-10-22T07:09:00Z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1792AE87762641DEBEE452205E32B35A</vt:lpwstr>
  </property>
</Properties>
</file>