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黑体" w:hAnsi="黑体" w:eastAsia="黑体"/>
          <w:sz w:val="32"/>
          <w:szCs w:val="32"/>
        </w:rPr>
      </w:pPr>
      <w:bookmarkStart w:id="0" w:name="_GoBack"/>
      <w:bookmarkEnd w:id="0"/>
      <w:r>
        <w:rPr>
          <w:rFonts w:hint="eastAsia" w:ascii="黑体" w:hAnsi="黑体" w:eastAsia="黑体"/>
          <w:sz w:val="32"/>
          <w:szCs w:val="32"/>
        </w:rPr>
        <w:t>附件</w:t>
      </w:r>
      <w:r>
        <w:rPr>
          <w:rFonts w:hint="eastAsia" w:ascii="黑体" w:hAnsi="黑体" w:eastAsia="黑体"/>
          <w:sz w:val="32"/>
          <w:szCs w:val="32"/>
          <w:lang w:val="en-US" w:eastAsia="zh-CN"/>
        </w:rPr>
        <w:t>4</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部分检验项目</w:t>
      </w:r>
      <w:r>
        <w:rPr>
          <w:rFonts w:hint="eastAsia" w:ascii="方正小标宋简体" w:eastAsia="方正小标宋简体"/>
          <w:sz w:val="44"/>
          <w:szCs w:val="44"/>
          <w:lang w:eastAsia="zh-CN"/>
        </w:rPr>
        <w:t>小知识</w:t>
      </w:r>
    </w:p>
    <w:p>
      <w:pPr>
        <w:spacing w:line="594" w:lineRule="exact"/>
        <w:ind w:firstLine="640" w:firstLineChars="200"/>
        <w:textAlignment w:val="baseline"/>
        <w:rPr>
          <w:rFonts w:hint="eastAsia" w:ascii="黑体" w:hAnsi="黑体" w:eastAsia="黑体"/>
          <w:sz w:val="32"/>
          <w:szCs w:val="32"/>
        </w:rPr>
      </w:pPr>
    </w:p>
    <w:p>
      <w:pPr>
        <w:keepNext w:val="0"/>
        <w:keepLines w:val="0"/>
        <w:widowControl/>
        <w:suppressLineNumbers w:val="0"/>
        <w:ind w:firstLine="320" w:firstLineChars="100"/>
        <w:jc w:val="left"/>
        <w:rPr>
          <w:rFonts w:hint="eastAsia" w:ascii="黑体" w:hAnsi="黑体" w:eastAsia="黑体"/>
          <w:sz w:val="32"/>
          <w:szCs w:val="32"/>
        </w:rPr>
      </w:pPr>
      <w:r>
        <w:rPr>
          <w:rFonts w:hint="eastAsia" w:ascii="黑体" w:hAnsi="黑体" w:eastAsia="黑体"/>
          <w:sz w:val="32"/>
          <w:szCs w:val="32"/>
        </w:rPr>
        <w:t>部分检验项目小知识</w:t>
      </w:r>
    </w:p>
    <w:p>
      <w:pPr>
        <w:keepNext w:val="0"/>
        <w:keepLines w:val="0"/>
        <w:widowControl/>
        <w:suppressLineNumbers w:val="0"/>
        <w:ind w:firstLine="320" w:firstLineChars="100"/>
        <w:jc w:val="left"/>
        <w:rPr>
          <w:rFonts w:hint="eastAsia" w:ascii="黑体" w:hAnsi="黑体" w:eastAsia="黑体"/>
          <w:sz w:val="32"/>
          <w:szCs w:val="32"/>
        </w:rPr>
      </w:pPr>
    </w:p>
    <w:p>
      <w:pPr>
        <w:keepNext w:val="0"/>
        <w:keepLines w:val="0"/>
        <w:widowControl/>
        <w:numPr>
          <w:ilvl w:val="0"/>
          <w:numId w:val="1"/>
        </w:numPr>
        <w:suppressLineNumbers w:val="0"/>
        <w:ind w:firstLine="310" w:firstLineChars="100"/>
        <w:jc w:val="left"/>
        <w:rPr>
          <w:rFonts w:hint="eastAsia" w:ascii="宋体" w:hAnsi="宋体" w:eastAsia="宋体" w:cs="宋体"/>
          <w:b w:val="0"/>
          <w:bCs w:val="0"/>
          <w:color w:val="000000"/>
          <w:sz w:val="30"/>
          <w:szCs w:val="30"/>
        </w:rPr>
      </w:pPr>
      <w:r>
        <w:rPr>
          <w:rFonts w:ascii="方正黑体简体" w:hAnsi="方正黑体简体" w:eastAsia="方正黑体简体" w:cs="方正黑体简体"/>
          <w:b/>
          <w:bCs/>
          <w:color w:val="000000"/>
          <w:sz w:val="31"/>
          <w:szCs w:val="31"/>
        </w:rPr>
        <w:t>阴</w:t>
      </w:r>
      <w:r>
        <w:rPr>
          <w:rFonts w:hint="default" w:ascii="方正黑体简体" w:hAnsi="方正黑体简体" w:eastAsia="方正黑体简体" w:cs="方正黑体简体"/>
          <w:b/>
          <w:bCs/>
          <w:color w:val="000000"/>
          <w:sz w:val="31"/>
          <w:szCs w:val="31"/>
        </w:rPr>
        <w:t>离子合成洗涤剂</w:t>
      </w:r>
      <w:r>
        <w:rPr>
          <w:rFonts w:hint="default" w:ascii="Times New Roman" w:hAnsi="Times New Roman" w:eastAsia="宋体" w:cs="Times New Roman"/>
          <w:b w:val="0"/>
          <w:bCs w:val="0"/>
          <w:color w:val="000000"/>
          <w:sz w:val="31"/>
          <w:szCs w:val="31"/>
        </w:rPr>
        <w:t xml:space="preserve"> </w:t>
      </w:r>
      <w:r>
        <w:rPr>
          <w:rFonts w:hint="eastAsia" w:ascii="宋体" w:hAnsi="宋体" w:eastAsia="宋体" w:cs="宋体"/>
          <w:b w:val="0"/>
          <w:bCs w:val="0"/>
          <w:color w:val="000000"/>
          <w:sz w:val="30"/>
          <w:szCs w:val="30"/>
        </w:rPr>
        <w:t>阴离子合成洗涤剂（</w:t>
      </w:r>
      <w:r>
        <w:rPr>
          <w:rFonts w:hint="default" w:ascii="Times New Roman" w:hAnsi="Times New Roman" w:eastAsia="宋体" w:cs="Times New Roman"/>
          <w:b w:val="0"/>
          <w:bCs w:val="0"/>
          <w:color w:val="000000"/>
          <w:sz w:val="30"/>
          <w:szCs w:val="30"/>
        </w:rPr>
        <w:t>Anionic synthetic detergent</w:t>
      </w:r>
      <w:r>
        <w:rPr>
          <w:rFonts w:hint="eastAsia" w:ascii="宋体" w:hAnsi="宋体" w:eastAsia="宋体" w:cs="宋体"/>
          <w:b w:val="0"/>
          <w:bCs w:val="0"/>
          <w:color w:val="000000"/>
          <w:sz w:val="30"/>
          <w:szCs w:val="30"/>
        </w:rPr>
        <w:t>）主要成分是十二烷基苯磺酸钠，是我 们日常生活中经常用到的洗衣粉、洗洁精、洗衣液、肥皂等洗涤剂的主要成分，是一种低毒物质，因其使用方便、易溶解、稳定性好、成本低等优点被广泛使用。阴离子合成洗涤剂可影响生活饮用水的质量，是饮用水质量检测的重要指标之一，也是消毒餐（饮）具质量评价的重要指标之一。如果饮用水生产过程或餐具清洗消毒过程中控制不当，会造成洗 涤剂在水体或餐具上的残留过量，对人体健康产生不良影响。</w:t>
      </w:r>
      <w:r>
        <w:rPr>
          <w:rFonts w:hint="default" w:ascii="Times New Roman" w:hAnsi="Times New Roman" w:eastAsia="宋体" w:cs="Times New Roman"/>
          <w:b w:val="0"/>
          <w:bCs w:val="0"/>
          <w:color w:val="000000"/>
          <w:sz w:val="30"/>
          <w:szCs w:val="30"/>
        </w:rPr>
        <w:t xml:space="preserve"> </w:t>
      </w:r>
      <w:r>
        <w:rPr>
          <w:rFonts w:hint="eastAsia" w:ascii="宋体" w:hAnsi="宋体" w:eastAsia="宋体" w:cs="宋体"/>
          <w:b w:val="0"/>
          <w:bCs w:val="0"/>
          <w:color w:val="000000"/>
          <w:sz w:val="30"/>
          <w:szCs w:val="30"/>
        </w:rPr>
        <w:t>饮水中含量不合格可能是阴离子合成洗涤剂成为环境中的有机污染物，造成饮用水中阴离子合成洗涤剂含量超标。餐（饮）具中检出阴离子合成洗涤剂的原因可能是由于餐（饮）具消毒单位使用的洗涤剂不合格或使用量过大，或未经足够量清水冲洗，最终残留在餐（饮）具中。</w:t>
      </w:r>
    </w:p>
    <w:p>
      <w:pPr>
        <w:keepNext w:val="0"/>
        <w:keepLines w:val="0"/>
        <w:widowControl/>
        <w:numPr>
          <w:ilvl w:val="0"/>
          <w:numId w:val="1"/>
        </w:numPr>
        <w:suppressLineNumbers w:val="0"/>
        <w:ind w:firstLine="310" w:firstLineChars="100"/>
        <w:jc w:val="left"/>
        <w:rPr>
          <w:rFonts w:hint="eastAsia" w:ascii="宋体" w:hAnsi="宋体" w:eastAsia="宋体" w:cs="宋体"/>
          <w:b w:val="0"/>
          <w:bCs w:val="0"/>
          <w:color w:val="000000"/>
          <w:sz w:val="30"/>
          <w:szCs w:val="30"/>
        </w:rPr>
      </w:pPr>
      <w:r>
        <w:rPr>
          <w:rFonts w:hint="eastAsia" w:ascii="方正黑体简体" w:hAnsi="方正黑体简体" w:eastAsia="方正黑体简体" w:cs="方正黑体简体"/>
          <w:b/>
          <w:bCs/>
          <w:color w:val="000000"/>
          <w:sz w:val="31"/>
          <w:szCs w:val="31"/>
        </w:rPr>
        <w:t>柠檬黄</w:t>
      </w:r>
      <w:r>
        <w:rPr>
          <w:rFonts w:hint="eastAsia" w:ascii="方正黑体简体" w:hAnsi="方正黑体简体" w:eastAsia="方正黑体简体" w:cs="方正黑体简体"/>
          <w:b/>
          <w:bCs/>
          <w:color w:val="000000"/>
          <w:sz w:val="31"/>
          <w:szCs w:val="31"/>
          <w:lang w:val="en-US" w:eastAsia="zh-CN"/>
        </w:rPr>
        <w:t xml:space="preserve"> </w:t>
      </w:r>
      <w:r>
        <w:rPr>
          <w:rFonts w:hint="eastAsia" w:ascii="宋体" w:hAnsi="宋体" w:eastAsia="宋体" w:cs="宋体"/>
          <w:b w:val="0"/>
          <w:bCs w:val="0"/>
          <w:color w:val="000000"/>
          <w:sz w:val="30"/>
          <w:szCs w:val="30"/>
        </w:rPr>
        <w:t>柠檬黄（</w:t>
      </w:r>
      <w:r>
        <w:rPr>
          <w:rFonts w:hint="default" w:ascii="宋体" w:hAnsi="宋体" w:eastAsia="宋体" w:cs="宋体"/>
          <w:b w:val="0"/>
          <w:bCs w:val="0"/>
          <w:color w:val="000000"/>
          <w:sz w:val="30"/>
          <w:szCs w:val="30"/>
        </w:rPr>
        <w:t>tartrazine</w:t>
      </w:r>
      <w:r>
        <w:rPr>
          <w:rFonts w:hint="eastAsia" w:ascii="宋体" w:hAnsi="宋体" w:eastAsia="宋体" w:cs="宋体"/>
          <w:b w:val="0"/>
          <w:bCs w:val="0"/>
          <w:color w:val="000000"/>
          <w:sz w:val="30"/>
          <w:szCs w:val="30"/>
        </w:rPr>
        <w:t>），橙黄或亮橙色的粉末或颗粒，是一种合成着色剂，常用于饮料 类配制酒、糖果、风味发酵乳、腌渍蔬菜、果冻、膨化食品等制品。</w:t>
      </w:r>
      <w:r>
        <w:rPr>
          <w:rFonts w:hint="default" w:ascii="宋体" w:hAnsi="宋体" w:eastAsia="宋体" w:cs="宋体"/>
          <w:b w:val="0"/>
          <w:bCs w:val="0"/>
          <w:color w:val="000000"/>
          <w:sz w:val="30"/>
          <w:szCs w:val="30"/>
        </w:rPr>
        <w:t xml:space="preserve"> </w:t>
      </w:r>
      <w:r>
        <w:rPr>
          <w:rFonts w:hint="eastAsia" w:ascii="宋体" w:hAnsi="宋体" w:eastAsia="宋体" w:cs="宋体"/>
          <w:b w:val="0"/>
          <w:bCs w:val="0"/>
          <w:color w:val="000000"/>
          <w:sz w:val="30"/>
          <w:szCs w:val="30"/>
        </w:rPr>
        <w:t>柠檬黄基本无毒，不在体内贮积，绝大部分以原形排出体外；但是也存在健康风险。联合国粮农组织（</w:t>
      </w:r>
      <w:r>
        <w:rPr>
          <w:rFonts w:hint="default" w:ascii="宋体" w:hAnsi="宋体" w:eastAsia="宋体" w:cs="宋体"/>
          <w:b w:val="0"/>
          <w:bCs w:val="0"/>
          <w:color w:val="000000"/>
          <w:sz w:val="30"/>
          <w:szCs w:val="30"/>
        </w:rPr>
        <w:t>FAO</w:t>
      </w:r>
      <w:r>
        <w:rPr>
          <w:rFonts w:hint="eastAsia" w:ascii="宋体" w:hAnsi="宋体" w:eastAsia="宋体" w:cs="宋体"/>
          <w:b w:val="0"/>
          <w:bCs w:val="0"/>
          <w:color w:val="000000"/>
          <w:sz w:val="30"/>
          <w:szCs w:val="30"/>
        </w:rPr>
        <w:t>）和世界卫生组织食品添加剂联合专家委员会（</w:t>
      </w:r>
      <w:r>
        <w:rPr>
          <w:rFonts w:hint="default" w:ascii="宋体" w:hAnsi="宋体" w:eastAsia="宋体" w:cs="宋体"/>
          <w:b w:val="0"/>
          <w:bCs w:val="0"/>
          <w:color w:val="000000"/>
          <w:sz w:val="30"/>
          <w:szCs w:val="30"/>
        </w:rPr>
        <w:t>JECFA</w:t>
      </w:r>
      <w:r>
        <w:rPr>
          <w:rFonts w:hint="eastAsia" w:ascii="宋体" w:hAnsi="宋体" w:eastAsia="宋体" w:cs="宋体"/>
          <w:b w:val="0"/>
          <w:bCs w:val="0"/>
          <w:color w:val="000000"/>
          <w:sz w:val="30"/>
          <w:szCs w:val="30"/>
        </w:rPr>
        <w:t>）建议其日容许摄入量（</w:t>
      </w:r>
      <w:r>
        <w:rPr>
          <w:rFonts w:hint="default" w:ascii="宋体" w:hAnsi="宋体" w:eastAsia="宋体" w:cs="宋体"/>
          <w:b w:val="0"/>
          <w:bCs w:val="0"/>
          <w:color w:val="000000"/>
          <w:sz w:val="30"/>
          <w:szCs w:val="30"/>
        </w:rPr>
        <w:t>ADI</w:t>
      </w:r>
      <w:r>
        <w:rPr>
          <w:rFonts w:hint="eastAsia" w:ascii="宋体" w:hAnsi="宋体" w:eastAsia="宋体" w:cs="宋体"/>
          <w:b w:val="0"/>
          <w:bCs w:val="0"/>
          <w:color w:val="000000"/>
          <w:sz w:val="30"/>
          <w:szCs w:val="30"/>
        </w:rPr>
        <w:t xml:space="preserve">）为 </w:t>
      </w:r>
      <w:r>
        <w:rPr>
          <w:rFonts w:hint="default" w:ascii="宋体" w:hAnsi="宋体" w:eastAsia="宋体" w:cs="宋体"/>
          <w:b w:val="0"/>
          <w:bCs w:val="0"/>
          <w:color w:val="000000"/>
          <w:sz w:val="30"/>
          <w:szCs w:val="30"/>
        </w:rPr>
        <w:t>0~10mg/kg bw</w:t>
      </w:r>
      <w:r>
        <w:rPr>
          <w:rFonts w:hint="eastAsia" w:ascii="宋体" w:hAnsi="宋体" w:eastAsia="宋体" w:cs="宋体"/>
          <w:b w:val="0"/>
          <w:bCs w:val="0"/>
          <w:color w:val="000000"/>
          <w:sz w:val="30"/>
          <w:szCs w:val="30"/>
        </w:rPr>
        <w:t>。</w:t>
      </w:r>
      <w:r>
        <w:rPr>
          <w:rFonts w:hint="default" w:ascii="宋体" w:hAnsi="宋体" w:eastAsia="宋体" w:cs="宋体"/>
          <w:b w:val="0"/>
          <w:bCs w:val="0"/>
          <w:color w:val="000000"/>
          <w:sz w:val="30"/>
          <w:szCs w:val="30"/>
        </w:rPr>
        <w:t xml:space="preserve"> </w:t>
      </w:r>
      <w:r>
        <w:rPr>
          <w:rFonts w:hint="eastAsia" w:ascii="宋体" w:hAnsi="宋体" w:eastAsia="宋体" w:cs="宋体"/>
          <w:b w:val="0"/>
          <w:bCs w:val="0"/>
          <w:color w:val="000000"/>
          <w:sz w:val="30"/>
          <w:szCs w:val="30"/>
        </w:rPr>
        <w:t>造成食品中柠檬黄不合格的主要原因有：生产经营企业超限量、超范围使用，或者未准确计量。</w:t>
      </w:r>
    </w:p>
    <w:p>
      <w:pPr>
        <w:keepNext w:val="0"/>
        <w:keepLines w:val="0"/>
        <w:widowControl/>
        <w:numPr>
          <w:ilvl w:val="0"/>
          <w:numId w:val="1"/>
        </w:numPr>
        <w:suppressLineNumbers w:val="0"/>
        <w:ind w:firstLine="310" w:firstLineChars="100"/>
        <w:jc w:val="left"/>
        <w:rPr>
          <w:rFonts w:hint="eastAsia" w:ascii="宋体" w:hAnsi="宋体" w:eastAsia="宋体" w:cs="宋体"/>
          <w:b w:val="0"/>
          <w:bCs w:val="0"/>
          <w:color w:val="000000"/>
          <w:sz w:val="30"/>
          <w:szCs w:val="30"/>
        </w:rPr>
      </w:pPr>
      <w:r>
        <w:rPr>
          <w:rFonts w:hint="eastAsia" w:ascii="方正黑体简体" w:hAnsi="方正黑体简体" w:eastAsia="方正黑体简体" w:cs="方正黑体简体"/>
          <w:b/>
          <w:bCs/>
          <w:color w:val="000000"/>
          <w:sz w:val="31"/>
          <w:szCs w:val="31"/>
        </w:rPr>
        <w:t>日落黄</w:t>
      </w:r>
      <w:r>
        <w:rPr>
          <w:rFonts w:hint="eastAsia" w:ascii="方正黑体简体" w:hAnsi="方正黑体简体" w:eastAsia="方正黑体简体" w:cs="方正黑体简体"/>
          <w:b/>
          <w:bCs/>
          <w:color w:val="000000"/>
          <w:sz w:val="31"/>
          <w:szCs w:val="31"/>
          <w:lang w:val="en-US" w:eastAsia="zh-CN"/>
        </w:rPr>
        <w:t xml:space="preserve"> </w:t>
      </w:r>
      <w:r>
        <w:rPr>
          <w:rFonts w:hint="eastAsia" w:ascii="宋体" w:hAnsi="宋体" w:eastAsia="宋体" w:cs="宋体"/>
          <w:b w:val="0"/>
          <w:bCs w:val="0"/>
          <w:color w:val="000000"/>
          <w:sz w:val="30"/>
          <w:szCs w:val="30"/>
        </w:rPr>
        <w:t>日落黄（</w:t>
      </w:r>
      <w:r>
        <w:rPr>
          <w:rFonts w:hint="default" w:ascii="宋体" w:hAnsi="宋体" w:eastAsia="宋体" w:cs="宋体"/>
          <w:b w:val="0"/>
          <w:bCs w:val="0"/>
          <w:color w:val="000000"/>
          <w:sz w:val="30"/>
          <w:szCs w:val="30"/>
        </w:rPr>
        <w:t>sunset yellow</w:t>
      </w:r>
      <w:r>
        <w:rPr>
          <w:rFonts w:hint="eastAsia" w:ascii="宋体" w:hAnsi="宋体" w:eastAsia="宋体" w:cs="宋体"/>
          <w:b w:val="0"/>
          <w:bCs w:val="0"/>
          <w:color w:val="000000"/>
          <w:sz w:val="30"/>
          <w:szCs w:val="30"/>
        </w:rPr>
        <w:t xml:space="preserve">）是一种橙红色的粉末或颗粒，是一种合成着色剂，食用黄色 色素。如果长期过量食用日落黄，会对人体健康造成伤害，可能会引起风疹、荨麻疹、腹 泻、小儿多动症，其代谢产物 </w:t>
      </w:r>
      <w:r>
        <w:rPr>
          <w:rFonts w:hint="default" w:ascii="宋体" w:hAnsi="宋体" w:eastAsia="宋体" w:cs="宋体"/>
          <w:b w:val="0"/>
          <w:bCs w:val="0"/>
          <w:color w:val="000000"/>
          <w:sz w:val="30"/>
          <w:szCs w:val="30"/>
        </w:rPr>
        <w:t>β-</w:t>
      </w:r>
      <w:r>
        <w:rPr>
          <w:rFonts w:hint="eastAsia" w:ascii="宋体" w:hAnsi="宋体" w:eastAsia="宋体" w:cs="宋体"/>
          <w:b w:val="0"/>
          <w:bCs w:val="0"/>
          <w:color w:val="000000"/>
          <w:sz w:val="30"/>
          <w:szCs w:val="30"/>
        </w:rPr>
        <w:t xml:space="preserve">萘酚和 </w:t>
      </w:r>
      <w:r>
        <w:rPr>
          <w:rFonts w:hint="default" w:ascii="宋体" w:hAnsi="宋体" w:eastAsia="宋体" w:cs="宋体"/>
          <w:b w:val="0"/>
          <w:bCs w:val="0"/>
          <w:color w:val="000000"/>
          <w:sz w:val="30"/>
          <w:szCs w:val="30"/>
        </w:rPr>
        <w:t>α-</w:t>
      </w:r>
      <w:r>
        <w:rPr>
          <w:rFonts w:hint="eastAsia" w:ascii="宋体" w:hAnsi="宋体" w:eastAsia="宋体" w:cs="宋体"/>
          <w:b w:val="0"/>
          <w:bCs w:val="0"/>
          <w:color w:val="000000"/>
          <w:sz w:val="30"/>
          <w:szCs w:val="30"/>
        </w:rPr>
        <w:t>氨基</w:t>
      </w:r>
      <w:r>
        <w:rPr>
          <w:rFonts w:hint="default" w:ascii="宋体" w:hAnsi="宋体" w:eastAsia="宋体" w:cs="宋体"/>
          <w:b w:val="0"/>
          <w:bCs w:val="0"/>
          <w:color w:val="000000"/>
          <w:sz w:val="30"/>
          <w:szCs w:val="30"/>
        </w:rPr>
        <w:t xml:space="preserve">-1-1 </w:t>
      </w:r>
      <w:r>
        <w:rPr>
          <w:rFonts w:hint="eastAsia" w:ascii="宋体" w:hAnsi="宋体" w:eastAsia="宋体" w:cs="宋体"/>
          <w:b w:val="0"/>
          <w:bCs w:val="0"/>
          <w:color w:val="000000"/>
          <w:sz w:val="30"/>
          <w:szCs w:val="30"/>
        </w:rPr>
        <w:t>萘酚等还可能致癌。在达到预期目的前提下应尽可能降低在食品中的使用量，也可以使用类似色彩的天然色素替代。</w:t>
      </w:r>
      <w:r>
        <w:rPr>
          <w:rFonts w:hint="default" w:ascii="宋体" w:hAnsi="宋体" w:eastAsia="宋体" w:cs="宋体"/>
          <w:b w:val="0"/>
          <w:bCs w:val="0"/>
          <w:color w:val="000000"/>
          <w:sz w:val="30"/>
          <w:szCs w:val="30"/>
        </w:rPr>
        <w:t xml:space="preserve"> </w:t>
      </w:r>
      <w:r>
        <w:rPr>
          <w:rFonts w:hint="eastAsia" w:ascii="宋体" w:hAnsi="宋体" w:eastAsia="宋体" w:cs="宋体"/>
          <w:b w:val="0"/>
          <w:bCs w:val="0"/>
          <w:color w:val="000000"/>
          <w:sz w:val="30"/>
          <w:szCs w:val="30"/>
        </w:rPr>
        <w:t>联合国粮农组织（</w:t>
      </w:r>
      <w:r>
        <w:rPr>
          <w:rFonts w:hint="default" w:ascii="宋体" w:hAnsi="宋体" w:eastAsia="宋体" w:cs="宋体"/>
          <w:b w:val="0"/>
          <w:bCs w:val="0"/>
          <w:color w:val="000000"/>
          <w:sz w:val="30"/>
          <w:szCs w:val="30"/>
        </w:rPr>
        <w:t>FAO</w:t>
      </w:r>
      <w:r>
        <w:rPr>
          <w:rFonts w:hint="eastAsia" w:ascii="宋体" w:hAnsi="宋体" w:eastAsia="宋体" w:cs="宋体"/>
          <w:b w:val="0"/>
          <w:bCs w:val="0"/>
          <w:color w:val="000000"/>
          <w:sz w:val="30"/>
          <w:szCs w:val="30"/>
        </w:rPr>
        <w:t>）和世界卫生组织食品添加剂联合专家委员会（</w:t>
      </w:r>
      <w:r>
        <w:rPr>
          <w:rFonts w:hint="default" w:ascii="宋体" w:hAnsi="宋体" w:eastAsia="宋体" w:cs="宋体"/>
          <w:b w:val="0"/>
          <w:bCs w:val="0"/>
          <w:color w:val="000000"/>
          <w:sz w:val="30"/>
          <w:szCs w:val="30"/>
        </w:rPr>
        <w:t>JECFA</w:t>
      </w:r>
      <w:r>
        <w:rPr>
          <w:rFonts w:hint="eastAsia" w:ascii="宋体" w:hAnsi="宋体" w:eastAsia="宋体" w:cs="宋体"/>
          <w:b w:val="0"/>
          <w:bCs w:val="0"/>
          <w:color w:val="000000"/>
          <w:sz w:val="30"/>
          <w:szCs w:val="30"/>
        </w:rPr>
        <w:t>）没有 对其日容许摄入量（</w:t>
      </w:r>
      <w:r>
        <w:rPr>
          <w:rFonts w:hint="default" w:ascii="宋体" w:hAnsi="宋体" w:eastAsia="宋体" w:cs="宋体"/>
          <w:b w:val="0"/>
          <w:bCs w:val="0"/>
          <w:color w:val="000000"/>
          <w:sz w:val="30"/>
          <w:szCs w:val="30"/>
        </w:rPr>
        <w:t>ADI</w:t>
      </w:r>
      <w:r>
        <w:rPr>
          <w:rFonts w:hint="eastAsia" w:ascii="宋体" w:hAnsi="宋体" w:eastAsia="宋体" w:cs="宋体"/>
          <w:b w:val="0"/>
          <w:bCs w:val="0"/>
          <w:color w:val="000000"/>
          <w:sz w:val="30"/>
          <w:szCs w:val="30"/>
        </w:rPr>
        <w:t xml:space="preserve">）为 </w:t>
      </w:r>
      <w:r>
        <w:rPr>
          <w:rFonts w:hint="default" w:ascii="宋体" w:hAnsi="宋体" w:eastAsia="宋体" w:cs="宋体"/>
          <w:b w:val="0"/>
          <w:bCs w:val="0"/>
          <w:color w:val="000000"/>
          <w:sz w:val="30"/>
          <w:szCs w:val="30"/>
        </w:rPr>
        <w:t>0~4mg/kg bw</w:t>
      </w:r>
      <w:r>
        <w:rPr>
          <w:rFonts w:hint="eastAsia" w:ascii="宋体" w:hAnsi="宋体" w:eastAsia="宋体" w:cs="宋体"/>
          <w:b w:val="0"/>
          <w:bCs w:val="0"/>
          <w:color w:val="000000"/>
          <w:sz w:val="30"/>
          <w:szCs w:val="30"/>
        </w:rPr>
        <w:t>。</w:t>
      </w:r>
      <w:r>
        <w:rPr>
          <w:rFonts w:hint="default" w:ascii="宋体" w:hAnsi="宋体" w:eastAsia="宋体" w:cs="宋体"/>
          <w:b w:val="0"/>
          <w:bCs w:val="0"/>
          <w:color w:val="000000"/>
          <w:sz w:val="30"/>
          <w:szCs w:val="30"/>
        </w:rPr>
        <w:t xml:space="preserve"> </w:t>
      </w:r>
      <w:r>
        <w:rPr>
          <w:rFonts w:hint="eastAsia" w:ascii="宋体" w:hAnsi="宋体" w:eastAsia="宋体" w:cs="宋体"/>
          <w:b w:val="0"/>
          <w:bCs w:val="0"/>
          <w:color w:val="000000"/>
          <w:sz w:val="30"/>
          <w:szCs w:val="30"/>
        </w:rPr>
        <w:t>造成食品中日落黄不合格的主要原因有：生产经营企业超限量、超范围使用，或者未准确计量。</w:t>
      </w:r>
    </w:p>
    <w:p>
      <w:pPr>
        <w:pStyle w:val="2"/>
        <w:rPr>
          <w:rFonts w:hint="eastAsia"/>
        </w:rPr>
      </w:pPr>
    </w:p>
    <w:p>
      <w:pPr>
        <w:keepNext w:val="0"/>
        <w:keepLines w:val="0"/>
        <w:widowControl/>
        <w:numPr>
          <w:ilvl w:val="0"/>
          <w:numId w:val="1"/>
        </w:numPr>
        <w:suppressLineNumbers w:val="0"/>
        <w:ind w:firstLine="310" w:firstLineChars="100"/>
        <w:jc w:val="left"/>
        <w:rPr>
          <w:rFonts w:hint="eastAsia" w:ascii="宋体" w:hAnsi="宋体" w:eastAsia="宋体" w:cs="宋体"/>
          <w:b w:val="0"/>
          <w:bCs w:val="0"/>
          <w:color w:val="000000"/>
          <w:sz w:val="30"/>
          <w:szCs w:val="30"/>
        </w:rPr>
      </w:pPr>
      <w:r>
        <w:rPr>
          <w:rFonts w:hint="eastAsia" w:ascii="方正黑体简体" w:hAnsi="方正黑体简体" w:eastAsia="方正黑体简体" w:cs="方正黑体简体"/>
          <w:b/>
          <w:bCs/>
          <w:color w:val="000000"/>
          <w:sz w:val="31"/>
          <w:szCs w:val="31"/>
        </w:rPr>
        <w:t>恩诺沙星</w:t>
      </w:r>
      <w:r>
        <w:rPr>
          <w:rFonts w:hint="eastAsia" w:ascii="方正黑体简体" w:hAnsi="方正黑体简体" w:eastAsia="方正黑体简体" w:cs="方正黑体简体"/>
          <w:b/>
          <w:bCs/>
          <w:color w:val="000000"/>
          <w:sz w:val="31"/>
          <w:szCs w:val="31"/>
          <w:lang w:val="en-US" w:eastAsia="zh-CN"/>
        </w:rPr>
        <w:t xml:space="preserve"> </w:t>
      </w:r>
      <w:r>
        <w:rPr>
          <w:rFonts w:hint="eastAsia" w:ascii="宋体" w:hAnsi="宋体" w:eastAsia="宋体" w:cs="宋体"/>
          <w:b w:val="0"/>
          <w:bCs w:val="0"/>
          <w:color w:val="000000"/>
          <w:sz w:val="30"/>
          <w:szCs w:val="30"/>
        </w:rPr>
        <w:t>恩诺沙星（</w:t>
      </w:r>
      <w:r>
        <w:rPr>
          <w:rFonts w:hint="default" w:ascii="宋体" w:hAnsi="宋体" w:eastAsia="宋体" w:cs="宋体"/>
          <w:b w:val="0"/>
          <w:bCs w:val="0"/>
          <w:color w:val="000000"/>
          <w:sz w:val="30"/>
          <w:szCs w:val="30"/>
        </w:rPr>
        <w:t>enrofloxacin</w:t>
      </w:r>
      <w:r>
        <w:rPr>
          <w:rFonts w:hint="eastAsia" w:ascii="宋体" w:hAnsi="宋体" w:eastAsia="宋体" w:cs="宋体"/>
          <w:b w:val="0"/>
          <w:bCs w:val="0"/>
          <w:color w:val="000000"/>
          <w:sz w:val="30"/>
          <w:szCs w:val="30"/>
        </w:rPr>
        <w:t>）属第三代喹诺酮类药。是一类人工合成的广谱抗菌药，用于治疗动物的皮肤感染、呼吸道感染等，是动物专属用药。大鼠急性经口毒性为实际无毒级，无遗传毒性、无致畸性和致癌性，主要引起耳廓软骨的变性性改变和睾丸毒性（精子形态学改变、生精小管萎缩等），并可造成雄性大鼠不育。</w:t>
      </w:r>
      <w:r>
        <w:rPr>
          <w:rFonts w:hint="default" w:ascii="宋体" w:hAnsi="宋体" w:eastAsia="宋体" w:cs="宋体"/>
          <w:b w:val="0"/>
          <w:bCs w:val="0"/>
          <w:color w:val="000000"/>
          <w:sz w:val="30"/>
          <w:szCs w:val="30"/>
        </w:rPr>
        <w:t xml:space="preserve"> </w:t>
      </w:r>
      <w:r>
        <w:rPr>
          <w:rFonts w:hint="eastAsia" w:ascii="宋体" w:hAnsi="宋体" w:eastAsia="宋体" w:cs="宋体"/>
          <w:b w:val="0"/>
          <w:bCs w:val="0"/>
          <w:color w:val="000000"/>
          <w:sz w:val="30"/>
          <w:szCs w:val="30"/>
        </w:rPr>
        <w:t>长期使用或者过度使用可能导致在人体中蓄积，进而对人体机能产生危害，还可能使 人体产生耐药性菌株。</w:t>
      </w:r>
      <w:r>
        <w:rPr>
          <w:rFonts w:hint="default" w:ascii="宋体" w:hAnsi="宋体" w:eastAsia="宋体" w:cs="宋体"/>
          <w:b w:val="0"/>
          <w:bCs w:val="0"/>
          <w:color w:val="000000"/>
          <w:sz w:val="30"/>
          <w:szCs w:val="30"/>
        </w:rPr>
        <w:t xml:space="preserve"> </w:t>
      </w:r>
      <w:r>
        <w:rPr>
          <w:rFonts w:hint="eastAsia" w:ascii="宋体" w:hAnsi="宋体" w:eastAsia="宋体" w:cs="宋体"/>
          <w:b w:val="0"/>
          <w:bCs w:val="0"/>
          <w:color w:val="000000"/>
          <w:sz w:val="30"/>
          <w:szCs w:val="30"/>
        </w:rPr>
        <w:t>联合国粮农组织（</w:t>
      </w:r>
      <w:r>
        <w:rPr>
          <w:rFonts w:hint="default" w:ascii="宋体" w:hAnsi="宋体" w:eastAsia="宋体" w:cs="宋体"/>
          <w:b w:val="0"/>
          <w:bCs w:val="0"/>
          <w:color w:val="000000"/>
          <w:sz w:val="30"/>
          <w:szCs w:val="30"/>
        </w:rPr>
        <w:t>FAO</w:t>
      </w:r>
      <w:r>
        <w:rPr>
          <w:rFonts w:hint="eastAsia" w:ascii="宋体" w:hAnsi="宋体" w:eastAsia="宋体" w:cs="宋体"/>
          <w:b w:val="0"/>
          <w:bCs w:val="0"/>
          <w:color w:val="000000"/>
          <w:sz w:val="30"/>
          <w:szCs w:val="30"/>
        </w:rPr>
        <w:t>）和世界卫生组织食品添加剂联合专家委员会（</w:t>
      </w:r>
      <w:r>
        <w:rPr>
          <w:rFonts w:hint="default" w:ascii="宋体" w:hAnsi="宋体" w:eastAsia="宋体" w:cs="宋体"/>
          <w:b w:val="0"/>
          <w:bCs w:val="0"/>
          <w:color w:val="000000"/>
          <w:sz w:val="30"/>
          <w:szCs w:val="30"/>
        </w:rPr>
        <w:t>JECFA</w:t>
      </w:r>
      <w:r>
        <w:rPr>
          <w:rFonts w:hint="eastAsia" w:ascii="宋体" w:hAnsi="宋体" w:eastAsia="宋体" w:cs="宋体"/>
          <w:b w:val="0"/>
          <w:bCs w:val="0"/>
          <w:color w:val="000000"/>
          <w:sz w:val="30"/>
          <w:szCs w:val="30"/>
        </w:rPr>
        <w:t>）给出了恩诺沙星的日容许摄入量（</w:t>
      </w:r>
      <w:r>
        <w:rPr>
          <w:rFonts w:hint="default" w:ascii="宋体" w:hAnsi="宋体" w:eastAsia="宋体" w:cs="宋体"/>
          <w:b w:val="0"/>
          <w:bCs w:val="0"/>
          <w:color w:val="000000"/>
          <w:sz w:val="30"/>
          <w:szCs w:val="30"/>
        </w:rPr>
        <w:t>ADI</w:t>
      </w:r>
      <w:r>
        <w:rPr>
          <w:rFonts w:hint="eastAsia" w:ascii="宋体" w:hAnsi="宋体" w:eastAsia="宋体" w:cs="宋体"/>
          <w:b w:val="0"/>
          <w:bCs w:val="0"/>
          <w:color w:val="000000"/>
          <w:sz w:val="30"/>
          <w:szCs w:val="30"/>
        </w:rPr>
        <w:t xml:space="preserve">）的建议值为 </w:t>
      </w:r>
      <w:r>
        <w:rPr>
          <w:rFonts w:hint="default" w:ascii="宋体" w:hAnsi="宋体" w:eastAsia="宋体" w:cs="宋体"/>
          <w:b w:val="0"/>
          <w:bCs w:val="0"/>
          <w:color w:val="000000"/>
          <w:sz w:val="30"/>
          <w:szCs w:val="30"/>
        </w:rPr>
        <w:t>0~2µg/kg bw</w:t>
      </w:r>
      <w:r>
        <w:rPr>
          <w:rFonts w:hint="eastAsia" w:ascii="宋体" w:hAnsi="宋体" w:eastAsia="宋体" w:cs="宋体"/>
          <w:b w:val="0"/>
          <w:bCs w:val="0"/>
          <w:color w:val="000000"/>
          <w:sz w:val="30"/>
          <w:szCs w:val="30"/>
        </w:rPr>
        <w:t>（</w:t>
      </w:r>
      <w:r>
        <w:rPr>
          <w:rFonts w:hint="default" w:ascii="宋体" w:hAnsi="宋体" w:eastAsia="宋体" w:cs="宋体"/>
          <w:b w:val="0"/>
          <w:bCs w:val="0"/>
          <w:color w:val="000000"/>
          <w:sz w:val="30"/>
          <w:szCs w:val="30"/>
        </w:rPr>
        <w:t>1998</w:t>
      </w:r>
      <w:r>
        <w:rPr>
          <w:rFonts w:hint="eastAsia" w:ascii="宋体" w:hAnsi="宋体" w:eastAsia="宋体" w:cs="宋体"/>
          <w:b w:val="0"/>
          <w:bCs w:val="0"/>
          <w:color w:val="000000"/>
          <w:sz w:val="30"/>
          <w:szCs w:val="30"/>
        </w:rPr>
        <w:t>）。</w:t>
      </w:r>
    </w:p>
    <w:p>
      <w:pPr>
        <w:keepNext w:val="0"/>
        <w:keepLines w:val="0"/>
        <w:widowControl/>
        <w:numPr>
          <w:ilvl w:val="0"/>
          <w:numId w:val="1"/>
        </w:numPr>
        <w:suppressLineNumbers w:val="0"/>
        <w:ind w:firstLine="310" w:firstLineChars="100"/>
        <w:jc w:val="left"/>
        <w:rPr>
          <w:rFonts w:hint="eastAsia" w:ascii="宋体" w:hAnsi="宋体" w:eastAsia="宋体" w:cs="宋体"/>
          <w:b w:val="0"/>
          <w:bCs w:val="0"/>
          <w:color w:val="000000"/>
          <w:sz w:val="30"/>
          <w:szCs w:val="30"/>
        </w:rPr>
      </w:pPr>
      <w:r>
        <w:rPr>
          <w:rFonts w:hint="eastAsia" w:ascii="方正黑体简体" w:hAnsi="方正黑体简体" w:eastAsia="方正黑体简体" w:cs="方正黑体简体"/>
          <w:b/>
          <w:bCs/>
          <w:color w:val="000000"/>
          <w:sz w:val="31"/>
          <w:szCs w:val="31"/>
        </w:rPr>
        <w:t>乙螨唑</w:t>
      </w:r>
      <w:r>
        <w:rPr>
          <w:rFonts w:hint="eastAsia" w:ascii="方正黑体简体" w:hAnsi="方正黑体简体" w:eastAsia="方正黑体简体" w:cs="方正黑体简体"/>
          <w:b/>
          <w:bCs/>
          <w:color w:val="000000"/>
          <w:sz w:val="31"/>
          <w:szCs w:val="31"/>
          <w:lang w:val="en-US" w:eastAsia="zh-CN"/>
        </w:rPr>
        <w:t xml:space="preserve"> </w:t>
      </w:r>
      <w:r>
        <w:rPr>
          <w:rFonts w:hint="eastAsia" w:ascii="宋体" w:hAnsi="宋体" w:eastAsia="宋体" w:cs="宋体"/>
          <w:b w:val="0"/>
          <w:bCs w:val="0"/>
          <w:color w:val="000000"/>
          <w:sz w:val="30"/>
          <w:szCs w:val="30"/>
        </w:rPr>
        <w:t>乙螨唑（</w:t>
      </w:r>
      <w:r>
        <w:rPr>
          <w:rFonts w:hint="default" w:ascii="宋体" w:hAnsi="宋体" w:eastAsia="宋体" w:cs="宋体"/>
          <w:b w:val="0"/>
          <w:bCs w:val="0"/>
          <w:color w:val="000000"/>
          <w:sz w:val="30"/>
          <w:szCs w:val="30"/>
        </w:rPr>
        <w:t>etoxazole</w:t>
      </w:r>
      <w:r>
        <w:rPr>
          <w:rFonts w:hint="eastAsia" w:ascii="宋体" w:hAnsi="宋体" w:eastAsia="宋体" w:cs="宋体"/>
          <w:b w:val="0"/>
          <w:bCs w:val="0"/>
          <w:color w:val="000000"/>
          <w:sz w:val="30"/>
          <w:szCs w:val="30"/>
        </w:rPr>
        <w:t xml:space="preserve">），非内吸性杀螨剂，对卵、幼虫和若虫有效，对成虫无效。防治柑橘、梨果、蔬菜和草莓上的植食性螨类（叶螨，苹果全爪属）；茶树和观赏植物上；也可用于观赏植物。雄大鼠、雌大鼠急性经口 </w:t>
      </w:r>
      <w:r>
        <w:rPr>
          <w:rFonts w:hint="default" w:ascii="宋体" w:hAnsi="宋体" w:eastAsia="宋体" w:cs="宋体"/>
          <w:b w:val="0"/>
          <w:bCs w:val="0"/>
          <w:color w:val="000000"/>
          <w:sz w:val="30"/>
          <w:szCs w:val="30"/>
        </w:rPr>
        <w:t>LD50&gt;5000mg/kg</w:t>
      </w:r>
      <w:r>
        <w:rPr>
          <w:rFonts w:hint="eastAsia" w:ascii="宋体" w:hAnsi="宋体" w:eastAsia="宋体" w:cs="宋体"/>
          <w:b w:val="0"/>
          <w:bCs w:val="0"/>
          <w:color w:val="000000"/>
          <w:sz w:val="30"/>
          <w:szCs w:val="30"/>
        </w:rPr>
        <w:t>，急性毒性分级为微毒。对皮肤有刺激症状，经口毒性低，无中毒报道。</w:t>
      </w:r>
      <w:r>
        <w:rPr>
          <w:rFonts w:hint="default" w:ascii="宋体" w:hAnsi="宋体" w:eastAsia="宋体" w:cs="宋体"/>
          <w:b w:val="0"/>
          <w:bCs w:val="0"/>
          <w:color w:val="000000"/>
          <w:sz w:val="30"/>
          <w:szCs w:val="30"/>
        </w:rPr>
        <w:t xml:space="preserve"> </w:t>
      </w:r>
      <w:r>
        <w:rPr>
          <w:rFonts w:hint="eastAsia" w:ascii="宋体" w:hAnsi="宋体" w:eastAsia="宋体" w:cs="宋体"/>
          <w:b w:val="0"/>
          <w:bCs w:val="0"/>
          <w:color w:val="000000"/>
          <w:sz w:val="30"/>
          <w:szCs w:val="30"/>
        </w:rPr>
        <w:t>联合国粮农组织和世界卫生组织农药残留联席会议（</w:t>
      </w:r>
      <w:r>
        <w:rPr>
          <w:rFonts w:hint="default" w:ascii="宋体" w:hAnsi="宋体" w:eastAsia="宋体" w:cs="宋体"/>
          <w:b w:val="0"/>
          <w:bCs w:val="0"/>
          <w:color w:val="000000"/>
          <w:sz w:val="30"/>
          <w:szCs w:val="30"/>
        </w:rPr>
        <w:t>JMPR</w:t>
      </w:r>
      <w:r>
        <w:rPr>
          <w:rFonts w:hint="eastAsia" w:ascii="宋体" w:hAnsi="宋体" w:eastAsia="宋体" w:cs="宋体"/>
          <w:b w:val="0"/>
          <w:bCs w:val="0"/>
          <w:color w:val="000000"/>
          <w:sz w:val="30"/>
          <w:szCs w:val="30"/>
        </w:rPr>
        <w:t>）</w:t>
      </w:r>
      <w:r>
        <w:rPr>
          <w:rFonts w:hint="default" w:ascii="宋体" w:hAnsi="宋体" w:eastAsia="宋体" w:cs="宋体"/>
          <w:b w:val="0"/>
          <w:bCs w:val="0"/>
          <w:color w:val="000000"/>
          <w:sz w:val="30"/>
          <w:szCs w:val="30"/>
        </w:rPr>
        <w:t xml:space="preserve">2010 </w:t>
      </w:r>
      <w:r>
        <w:rPr>
          <w:rFonts w:hint="eastAsia" w:ascii="宋体" w:hAnsi="宋体" w:eastAsia="宋体" w:cs="宋体"/>
          <w:b w:val="0"/>
          <w:bCs w:val="0"/>
          <w:color w:val="000000"/>
          <w:sz w:val="30"/>
          <w:szCs w:val="30"/>
        </w:rPr>
        <w:t>年制定了其日容许 摄入量（</w:t>
      </w:r>
      <w:r>
        <w:rPr>
          <w:rFonts w:hint="default" w:ascii="宋体" w:hAnsi="宋体" w:eastAsia="宋体" w:cs="宋体"/>
          <w:b w:val="0"/>
          <w:bCs w:val="0"/>
          <w:color w:val="000000"/>
          <w:sz w:val="30"/>
          <w:szCs w:val="30"/>
        </w:rPr>
        <w:t>ADI</w:t>
      </w:r>
      <w:r>
        <w:rPr>
          <w:rFonts w:hint="eastAsia" w:ascii="宋体" w:hAnsi="宋体" w:eastAsia="宋体" w:cs="宋体"/>
          <w:b w:val="0"/>
          <w:bCs w:val="0"/>
          <w:color w:val="000000"/>
          <w:sz w:val="30"/>
          <w:szCs w:val="30"/>
        </w:rPr>
        <w:t xml:space="preserve">）为 </w:t>
      </w:r>
      <w:r>
        <w:rPr>
          <w:rFonts w:hint="default" w:ascii="宋体" w:hAnsi="宋体" w:eastAsia="宋体" w:cs="宋体"/>
          <w:b w:val="0"/>
          <w:bCs w:val="0"/>
          <w:color w:val="000000"/>
          <w:sz w:val="30"/>
          <w:szCs w:val="30"/>
        </w:rPr>
        <w:t>0.05mg/kg bw</w:t>
      </w:r>
      <w:r>
        <w:rPr>
          <w:rFonts w:hint="eastAsia" w:ascii="宋体" w:hAnsi="宋体" w:eastAsia="宋体" w:cs="宋体"/>
          <w:b w:val="0"/>
          <w:bCs w:val="0"/>
          <w:color w:val="000000"/>
          <w:sz w:val="30"/>
          <w:szCs w:val="30"/>
        </w:rPr>
        <w:t>，我国《食品安全国家标准</w:t>
      </w:r>
      <w:r>
        <w:rPr>
          <w:rFonts w:hint="default" w:ascii="宋体" w:hAnsi="宋体" w:eastAsia="宋体" w:cs="宋体"/>
          <w:b w:val="0"/>
          <w:bCs w:val="0"/>
          <w:color w:val="000000"/>
          <w:sz w:val="30"/>
          <w:szCs w:val="30"/>
        </w:rPr>
        <w:t xml:space="preserve"> </w:t>
      </w:r>
      <w:r>
        <w:rPr>
          <w:rFonts w:hint="eastAsia" w:ascii="宋体" w:hAnsi="宋体" w:eastAsia="宋体" w:cs="宋体"/>
          <w:b w:val="0"/>
          <w:bCs w:val="0"/>
          <w:color w:val="000000"/>
          <w:sz w:val="30"/>
          <w:szCs w:val="30"/>
        </w:rPr>
        <w:t>食品中农药最大残留限量》（</w:t>
      </w:r>
      <w:r>
        <w:rPr>
          <w:rFonts w:hint="default" w:ascii="宋体" w:hAnsi="宋体" w:eastAsia="宋体" w:cs="宋体"/>
          <w:b w:val="0"/>
          <w:bCs w:val="0"/>
          <w:color w:val="000000"/>
          <w:sz w:val="30"/>
          <w:szCs w:val="30"/>
        </w:rPr>
        <w:t>GB 2763-2021</w:t>
      </w:r>
      <w:r>
        <w:rPr>
          <w:rFonts w:hint="eastAsia" w:ascii="宋体" w:hAnsi="宋体" w:eastAsia="宋体" w:cs="宋体"/>
          <w:b w:val="0"/>
          <w:bCs w:val="0"/>
          <w:color w:val="000000"/>
          <w:sz w:val="30"/>
          <w:szCs w:val="30"/>
        </w:rPr>
        <w:t xml:space="preserve">）中 </w:t>
      </w:r>
      <w:r>
        <w:rPr>
          <w:rFonts w:hint="default" w:ascii="宋体" w:hAnsi="宋体" w:eastAsia="宋体" w:cs="宋体"/>
          <w:b w:val="0"/>
          <w:bCs w:val="0"/>
          <w:color w:val="000000"/>
          <w:sz w:val="30"/>
          <w:szCs w:val="30"/>
        </w:rPr>
        <w:t xml:space="preserve">ADI </w:t>
      </w:r>
      <w:r>
        <w:rPr>
          <w:rFonts w:hint="eastAsia" w:ascii="宋体" w:hAnsi="宋体" w:eastAsia="宋体" w:cs="宋体"/>
          <w:b w:val="0"/>
          <w:bCs w:val="0"/>
          <w:color w:val="000000"/>
          <w:sz w:val="30"/>
          <w:szCs w:val="30"/>
        </w:rPr>
        <w:t xml:space="preserve">值亦为 </w:t>
      </w:r>
      <w:r>
        <w:rPr>
          <w:rFonts w:hint="default" w:ascii="宋体" w:hAnsi="宋体" w:eastAsia="宋体" w:cs="宋体"/>
          <w:b w:val="0"/>
          <w:bCs w:val="0"/>
          <w:color w:val="000000"/>
          <w:sz w:val="30"/>
          <w:szCs w:val="30"/>
        </w:rPr>
        <w:t>0.05mg/kg bw</w:t>
      </w:r>
      <w:r>
        <w:rPr>
          <w:rFonts w:hint="eastAsia" w:ascii="宋体" w:hAnsi="宋体" w:eastAsia="宋体" w:cs="宋体"/>
          <w:b w:val="0"/>
          <w:bCs w:val="0"/>
          <w:color w:val="000000"/>
          <w:sz w:val="30"/>
          <w:szCs w:val="30"/>
        </w:rPr>
        <w:t>。</w:t>
      </w:r>
    </w:p>
    <w:p>
      <w:pPr>
        <w:keepNext w:val="0"/>
        <w:keepLines w:val="0"/>
        <w:widowControl/>
        <w:numPr>
          <w:ilvl w:val="0"/>
          <w:numId w:val="1"/>
        </w:numPr>
        <w:suppressLineNumbers w:val="0"/>
        <w:ind w:firstLine="310" w:firstLineChars="100"/>
        <w:jc w:val="left"/>
        <w:rPr>
          <w:rFonts w:hint="eastAsia" w:ascii="宋体" w:hAnsi="宋体" w:eastAsia="宋体" w:cs="宋体"/>
          <w:b w:val="0"/>
          <w:bCs w:val="0"/>
          <w:color w:val="000000"/>
          <w:sz w:val="30"/>
          <w:szCs w:val="30"/>
        </w:rPr>
      </w:pPr>
      <w:r>
        <w:rPr>
          <w:rFonts w:hint="eastAsia" w:ascii="方正黑体简体" w:hAnsi="方正黑体简体" w:eastAsia="方正黑体简体" w:cs="方正黑体简体"/>
          <w:b/>
          <w:bCs/>
          <w:color w:val="000000"/>
          <w:sz w:val="31"/>
          <w:szCs w:val="31"/>
        </w:rPr>
        <w:t>苯醚甲环唑</w:t>
      </w:r>
      <w:r>
        <w:rPr>
          <w:rFonts w:hint="eastAsia" w:ascii="方正黑体简体" w:hAnsi="方正黑体简体" w:eastAsia="方正黑体简体" w:cs="方正黑体简体"/>
          <w:b/>
          <w:bCs/>
          <w:color w:val="000000"/>
          <w:sz w:val="31"/>
          <w:szCs w:val="31"/>
          <w:lang w:val="en-US" w:eastAsia="zh-CN"/>
        </w:rPr>
        <w:t xml:space="preserve"> </w:t>
      </w:r>
      <w:r>
        <w:rPr>
          <w:rFonts w:hint="eastAsia" w:ascii="宋体" w:hAnsi="宋体" w:eastAsia="宋体" w:cs="宋体"/>
          <w:b w:val="0"/>
          <w:bCs w:val="0"/>
          <w:color w:val="000000"/>
          <w:sz w:val="30"/>
          <w:szCs w:val="30"/>
        </w:rPr>
        <w:t>苯醚甲环唑（</w:t>
      </w:r>
      <w:r>
        <w:rPr>
          <w:rFonts w:hint="default" w:ascii="宋体" w:hAnsi="宋体" w:eastAsia="宋体" w:cs="宋体"/>
          <w:b w:val="0"/>
          <w:bCs w:val="0"/>
          <w:color w:val="000000"/>
          <w:sz w:val="30"/>
          <w:szCs w:val="30"/>
        </w:rPr>
        <w:t>difenoconazole</w:t>
      </w:r>
      <w:r>
        <w:rPr>
          <w:rFonts w:hint="eastAsia" w:ascii="宋体" w:hAnsi="宋体" w:eastAsia="宋体" w:cs="宋体"/>
          <w:b w:val="0"/>
          <w:bCs w:val="0"/>
          <w:color w:val="000000"/>
          <w:sz w:val="30"/>
          <w:szCs w:val="30"/>
        </w:rPr>
        <w:t xml:space="preserve">），是高效广谱杀菌剂，对蔬菜和瓜果等多种真菌性病害 具有很好的防治作用。大鼠经口急性毒性 </w:t>
      </w:r>
      <w:r>
        <w:rPr>
          <w:rFonts w:hint="default" w:ascii="宋体" w:hAnsi="宋体" w:eastAsia="宋体" w:cs="宋体"/>
          <w:b w:val="0"/>
          <w:bCs w:val="0"/>
          <w:color w:val="000000"/>
          <w:sz w:val="30"/>
          <w:szCs w:val="30"/>
        </w:rPr>
        <w:t xml:space="preserve">LD50 </w:t>
      </w:r>
      <w:r>
        <w:rPr>
          <w:rFonts w:hint="eastAsia" w:ascii="宋体" w:hAnsi="宋体" w:eastAsia="宋体" w:cs="宋体"/>
          <w:b w:val="0"/>
          <w:bCs w:val="0"/>
          <w:color w:val="000000"/>
          <w:sz w:val="30"/>
          <w:szCs w:val="30"/>
        </w:rPr>
        <w:t xml:space="preserve">约为 </w:t>
      </w:r>
      <w:r>
        <w:rPr>
          <w:rFonts w:hint="default" w:ascii="宋体" w:hAnsi="宋体" w:eastAsia="宋体" w:cs="宋体"/>
          <w:b w:val="0"/>
          <w:bCs w:val="0"/>
          <w:color w:val="000000"/>
          <w:sz w:val="30"/>
          <w:szCs w:val="30"/>
        </w:rPr>
        <w:t>1453mg/kg</w:t>
      </w:r>
      <w:r>
        <w:rPr>
          <w:rFonts w:hint="eastAsia" w:ascii="宋体" w:hAnsi="宋体" w:eastAsia="宋体" w:cs="宋体"/>
          <w:b w:val="0"/>
          <w:bCs w:val="0"/>
          <w:color w:val="000000"/>
          <w:sz w:val="30"/>
          <w:szCs w:val="30"/>
        </w:rPr>
        <w:t>，急性毒性剂量分级为低毒级，对皮肤、眼睛有刺激作用。相关研究未见遗传毒性。但长期反复接触是否有蓄积作用 和远期效应，尚无明确科学证据。食用食品一般不会导致苯醚甲环唑的急性中毒，但长期 食用苯醚甲环唑超标的食品，对人体健康也有一定影响。</w:t>
      </w:r>
      <w:r>
        <w:rPr>
          <w:rFonts w:hint="default" w:ascii="宋体" w:hAnsi="宋体" w:eastAsia="宋体" w:cs="宋体"/>
          <w:b w:val="0"/>
          <w:bCs w:val="0"/>
          <w:color w:val="000000"/>
          <w:sz w:val="30"/>
          <w:szCs w:val="30"/>
        </w:rPr>
        <w:t xml:space="preserve"> </w:t>
      </w:r>
      <w:r>
        <w:rPr>
          <w:rFonts w:hint="eastAsia" w:ascii="宋体" w:hAnsi="宋体" w:eastAsia="宋体" w:cs="宋体"/>
          <w:b w:val="0"/>
          <w:bCs w:val="0"/>
          <w:color w:val="000000"/>
          <w:sz w:val="30"/>
          <w:szCs w:val="30"/>
        </w:rPr>
        <w:t>联合国粮农组织和世界卫生组织农药残留联席会议（</w:t>
      </w:r>
      <w:r>
        <w:rPr>
          <w:rFonts w:hint="default" w:ascii="宋体" w:hAnsi="宋体" w:eastAsia="宋体" w:cs="宋体"/>
          <w:b w:val="0"/>
          <w:bCs w:val="0"/>
          <w:color w:val="000000"/>
          <w:sz w:val="30"/>
          <w:szCs w:val="30"/>
        </w:rPr>
        <w:t>JMPR</w:t>
      </w:r>
      <w:r>
        <w:rPr>
          <w:rFonts w:hint="eastAsia" w:ascii="宋体" w:hAnsi="宋体" w:eastAsia="宋体" w:cs="宋体"/>
          <w:b w:val="0"/>
          <w:bCs w:val="0"/>
          <w:color w:val="000000"/>
          <w:sz w:val="30"/>
          <w:szCs w:val="30"/>
        </w:rPr>
        <w:t>）建议日容许摄入量（</w:t>
      </w:r>
      <w:r>
        <w:rPr>
          <w:rFonts w:hint="default" w:ascii="宋体" w:hAnsi="宋体" w:eastAsia="宋体" w:cs="宋体"/>
          <w:b w:val="0"/>
          <w:bCs w:val="0"/>
          <w:color w:val="000000"/>
          <w:sz w:val="30"/>
          <w:szCs w:val="30"/>
        </w:rPr>
        <w:t>ADI</w:t>
      </w:r>
      <w:r>
        <w:rPr>
          <w:rFonts w:hint="eastAsia" w:ascii="宋体" w:hAnsi="宋体" w:eastAsia="宋体" w:cs="宋体"/>
          <w:b w:val="0"/>
          <w:bCs w:val="0"/>
          <w:color w:val="000000"/>
          <w:sz w:val="30"/>
          <w:szCs w:val="30"/>
        </w:rPr>
        <w:t xml:space="preserve">） 为 </w:t>
      </w:r>
      <w:r>
        <w:rPr>
          <w:rFonts w:hint="default" w:ascii="宋体" w:hAnsi="宋体" w:eastAsia="宋体" w:cs="宋体"/>
          <w:b w:val="0"/>
          <w:bCs w:val="0"/>
          <w:color w:val="000000"/>
          <w:sz w:val="30"/>
          <w:szCs w:val="30"/>
        </w:rPr>
        <w:t>0.01mg/kg bw</w:t>
      </w:r>
      <w:r>
        <w:rPr>
          <w:rFonts w:hint="eastAsia" w:ascii="宋体" w:hAnsi="宋体" w:eastAsia="宋体" w:cs="宋体"/>
          <w:b w:val="0"/>
          <w:bCs w:val="0"/>
          <w:color w:val="000000"/>
          <w:sz w:val="30"/>
          <w:szCs w:val="30"/>
        </w:rPr>
        <w:t>（</w:t>
      </w:r>
      <w:r>
        <w:rPr>
          <w:rFonts w:hint="default" w:ascii="宋体" w:hAnsi="宋体" w:eastAsia="宋体" w:cs="宋体"/>
          <w:b w:val="0"/>
          <w:bCs w:val="0"/>
          <w:color w:val="000000"/>
          <w:sz w:val="30"/>
          <w:szCs w:val="30"/>
        </w:rPr>
        <w:t>2007</w:t>
      </w:r>
      <w:r>
        <w:rPr>
          <w:rFonts w:hint="eastAsia" w:ascii="宋体" w:hAnsi="宋体" w:eastAsia="宋体" w:cs="宋体"/>
          <w:b w:val="0"/>
          <w:bCs w:val="0"/>
          <w:color w:val="000000"/>
          <w:sz w:val="30"/>
          <w:szCs w:val="30"/>
        </w:rPr>
        <w:t>）；急性参考剂量（</w:t>
      </w:r>
      <w:r>
        <w:rPr>
          <w:rFonts w:hint="default" w:ascii="宋体" w:hAnsi="宋体" w:eastAsia="宋体" w:cs="宋体"/>
          <w:b w:val="0"/>
          <w:bCs w:val="0"/>
          <w:color w:val="000000"/>
          <w:sz w:val="30"/>
          <w:szCs w:val="30"/>
        </w:rPr>
        <w:t>ARfD</w:t>
      </w:r>
      <w:r>
        <w:rPr>
          <w:rFonts w:hint="eastAsia" w:ascii="宋体" w:hAnsi="宋体" w:eastAsia="宋体" w:cs="宋体"/>
          <w:b w:val="0"/>
          <w:bCs w:val="0"/>
          <w:color w:val="000000"/>
          <w:sz w:val="30"/>
          <w:szCs w:val="30"/>
        </w:rPr>
        <w:t xml:space="preserve">）为 </w:t>
      </w:r>
      <w:r>
        <w:rPr>
          <w:rFonts w:hint="default" w:ascii="宋体" w:hAnsi="宋体" w:eastAsia="宋体" w:cs="宋体"/>
          <w:b w:val="0"/>
          <w:bCs w:val="0"/>
          <w:color w:val="000000"/>
          <w:sz w:val="30"/>
          <w:szCs w:val="30"/>
        </w:rPr>
        <w:t>0.3mg/kg bw</w:t>
      </w:r>
      <w:r>
        <w:rPr>
          <w:rFonts w:hint="eastAsia" w:ascii="宋体" w:hAnsi="宋体" w:eastAsia="宋体" w:cs="宋体"/>
          <w:b w:val="0"/>
          <w:bCs w:val="0"/>
          <w:color w:val="000000"/>
          <w:sz w:val="30"/>
          <w:szCs w:val="30"/>
        </w:rPr>
        <w:t>（</w:t>
      </w:r>
      <w:r>
        <w:rPr>
          <w:rFonts w:hint="default" w:ascii="宋体" w:hAnsi="宋体" w:eastAsia="宋体" w:cs="宋体"/>
          <w:b w:val="0"/>
          <w:bCs w:val="0"/>
          <w:color w:val="000000"/>
          <w:sz w:val="30"/>
          <w:szCs w:val="30"/>
        </w:rPr>
        <w:t>2007</w:t>
      </w:r>
      <w:r>
        <w:rPr>
          <w:rFonts w:hint="eastAsia" w:ascii="宋体" w:hAnsi="宋体" w:eastAsia="宋体" w:cs="宋体"/>
          <w:b w:val="0"/>
          <w:bCs w:val="0"/>
          <w:color w:val="000000"/>
          <w:sz w:val="30"/>
          <w:szCs w:val="30"/>
        </w:rPr>
        <w:t>）。</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auto"/>
    <w:pitch w:val="default"/>
    <w:sig w:usb0="E10002FF" w:usb1="4000FCFF" w:usb2="00000009" w:usb3="00000000" w:csb0="6000019F" w:csb1="DFD70000"/>
  </w:font>
  <w:font w:name="方正小标宋简体">
    <w:panose1 w:val="03000509000000000000"/>
    <w:charset w:val="86"/>
    <w:family w:val="script"/>
    <w:pitch w:val="default"/>
    <w:sig w:usb0="00000001" w:usb1="080E0000" w:usb2="00000000" w:usb3="00000000" w:csb0="00040000" w:csb1="00000000"/>
  </w:font>
  <w:font w:name="方正黑体简体">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84E713"/>
    <w:multiLevelType w:val="singleLevel"/>
    <w:tmpl w:val="7784E71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F399D"/>
    <w:rsid w:val="033A1568"/>
    <w:rsid w:val="05DF0F21"/>
    <w:rsid w:val="06307F79"/>
    <w:rsid w:val="08BC75FB"/>
    <w:rsid w:val="144E3700"/>
    <w:rsid w:val="14C70E78"/>
    <w:rsid w:val="1A4551C5"/>
    <w:rsid w:val="1BD969C6"/>
    <w:rsid w:val="210F75CC"/>
    <w:rsid w:val="2394413C"/>
    <w:rsid w:val="2845181D"/>
    <w:rsid w:val="28D66B25"/>
    <w:rsid w:val="2D3D0F44"/>
    <w:rsid w:val="2DB93C4E"/>
    <w:rsid w:val="2F4442F1"/>
    <w:rsid w:val="2F507CED"/>
    <w:rsid w:val="33DF235E"/>
    <w:rsid w:val="3D6509B3"/>
    <w:rsid w:val="419B6B82"/>
    <w:rsid w:val="45BA27F4"/>
    <w:rsid w:val="522904F6"/>
    <w:rsid w:val="5BE37799"/>
    <w:rsid w:val="601058EF"/>
    <w:rsid w:val="62AB1EC5"/>
    <w:rsid w:val="6CED3C33"/>
    <w:rsid w:val="72F22EE9"/>
    <w:rsid w:val="7AF918CE"/>
    <w:rsid w:val="7B492DD3"/>
    <w:rsid w:val="7ECD2214"/>
    <w:rsid w:val="7F973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spacing w:beforeLines="0" w:afterLines="0"/>
    </w:pPr>
    <w:rPr>
      <w:rFonts w:hint="default" w:ascii="黑体" w:hAnsi="黑体" w:eastAsia="黑体" w:cs="Times New Roman"/>
      <w:color w:val="000000"/>
      <w:sz w:val="24"/>
    </w:rPr>
  </w:style>
  <w:style w:type="character" w:styleId="5">
    <w:name w:val="Strong"/>
    <w:basedOn w:val="4"/>
    <w:qFormat/>
    <w:uiPriority w:val="0"/>
    <w:rPr>
      <w:b/>
      <w:bCs/>
    </w:rPr>
  </w:style>
  <w:style w:type="character" w:styleId="6">
    <w:name w:val="FollowedHyperlink"/>
    <w:basedOn w:val="4"/>
    <w:qFormat/>
    <w:uiPriority w:val="0"/>
    <w:rPr>
      <w:color w:val="337AB7"/>
      <w:u w:val="none"/>
    </w:rPr>
  </w:style>
  <w:style w:type="character" w:styleId="7">
    <w:name w:val="HTML Definition"/>
    <w:basedOn w:val="4"/>
    <w:qFormat/>
    <w:uiPriority w:val="0"/>
    <w:rPr>
      <w:i/>
      <w:iCs/>
    </w:rPr>
  </w:style>
  <w:style w:type="character" w:styleId="8">
    <w:name w:val="Hyperlink"/>
    <w:basedOn w:val="4"/>
    <w:qFormat/>
    <w:uiPriority w:val="0"/>
    <w:rPr>
      <w:color w:val="337AB7"/>
      <w:u w:val="none"/>
    </w:rPr>
  </w:style>
  <w:style w:type="character" w:styleId="9">
    <w:name w:val="HTML Code"/>
    <w:basedOn w:val="4"/>
    <w:qFormat/>
    <w:uiPriority w:val="0"/>
    <w:rPr>
      <w:rFonts w:hint="default" w:ascii="Consolas" w:hAnsi="Consolas" w:eastAsia="Consolas" w:cs="Consolas"/>
      <w:color w:val="CA4440"/>
      <w:sz w:val="21"/>
      <w:szCs w:val="21"/>
      <w:shd w:val="clear" w:fill="F9F2F4"/>
    </w:rPr>
  </w:style>
  <w:style w:type="character" w:styleId="10">
    <w:name w:val="HTML Keyboard"/>
    <w:basedOn w:val="4"/>
    <w:qFormat/>
    <w:uiPriority w:val="0"/>
    <w:rPr>
      <w:rFonts w:ascii="Consolas" w:hAnsi="Consolas" w:eastAsia="Consolas" w:cs="Consolas"/>
      <w:color w:val="FFFFFF"/>
      <w:sz w:val="21"/>
      <w:szCs w:val="21"/>
      <w:shd w:val="clear" w:fill="333333"/>
    </w:rPr>
  </w:style>
  <w:style w:type="character" w:styleId="11">
    <w:name w:val="HTML Sample"/>
    <w:basedOn w:val="4"/>
    <w:qFormat/>
    <w:uiPriority w:val="0"/>
    <w:rPr>
      <w:rFonts w:hint="default" w:ascii="Consolas" w:hAnsi="Consolas" w:eastAsia="Consolas" w:cs="Consolas"/>
      <w:sz w:val="21"/>
      <w:szCs w:val="21"/>
    </w:rPr>
  </w:style>
  <w:style w:type="character" w:customStyle="1" w:styleId="12">
    <w:name w:val="new"/>
    <w:basedOn w:val="4"/>
    <w:qFormat/>
    <w:uiPriority w:val="0"/>
    <w:rPr>
      <w:color w:val="999999"/>
    </w:rPr>
  </w:style>
  <w:style w:type="character" w:customStyle="1" w:styleId="13">
    <w:name w:val="layui-this"/>
    <w:basedOn w:val="4"/>
    <w:qFormat/>
    <w:uiPriority w:val="0"/>
    <w:rPr>
      <w:bdr w:val="single" w:color="EEEEEE" w:sz="6" w:space="0"/>
      <w:shd w:val="clear" w:fill="FFFFFF"/>
    </w:rPr>
  </w:style>
  <w:style w:type="character" w:customStyle="1" w:styleId="14">
    <w:name w:val="hover5"/>
    <w:basedOn w:val="4"/>
    <w:qFormat/>
    <w:uiPriority w:val="0"/>
    <w:rPr>
      <w:shd w:val="clear" w:fill="EEEEEE"/>
    </w:rPr>
  </w:style>
  <w:style w:type="character" w:customStyle="1" w:styleId="15">
    <w:name w:val="old"/>
    <w:basedOn w:val="4"/>
    <w:qFormat/>
    <w:uiPriority w:val="0"/>
    <w:rPr>
      <w:color w:val="999999"/>
    </w:rPr>
  </w:style>
  <w:style w:type="character" w:customStyle="1" w:styleId="16">
    <w:name w:val="first-child"/>
    <w:basedOn w:val="4"/>
    <w:qFormat/>
    <w:uiPriority w:val="0"/>
  </w:style>
  <w:style w:type="character" w:customStyle="1" w:styleId="17">
    <w:name w:val="active1"/>
    <w:basedOn w:val="4"/>
    <w:qFormat/>
    <w:uiPriority w:val="0"/>
    <w:rPr>
      <w:shd w:val="clear" w:fill="F6F6F6"/>
    </w:rPr>
  </w:style>
  <w:style w:type="character" w:customStyle="1" w:styleId="18">
    <w:name w:val="active"/>
    <w:basedOn w:val="4"/>
    <w:qFormat/>
    <w:uiPriority w:val="0"/>
    <w:rPr>
      <w:shd w:val="clear" w:fill="F6F6F6"/>
    </w:rPr>
  </w:style>
  <w:style w:type="character" w:customStyle="1" w:styleId="19">
    <w:name w:val="label9"/>
    <w:basedOn w:val="4"/>
    <w:qFormat/>
    <w:uiPriority w:val="0"/>
  </w:style>
  <w:style w:type="character" w:customStyle="1" w:styleId="20">
    <w:name w:val="label10"/>
    <w:basedOn w:val="4"/>
    <w:qFormat/>
    <w:uiPriority w:val="0"/>
    <w:rPr>
      <w:color w:val="1AB394"/>
      <w:shd w:val="clear" w:fill="FFFFFF"/>
    </w:rPr>
  </w:style>
  <w:style w:type="character" w:customStyle="1" w:styleId="21">
    <w:name w:val="label11"/>
    <w:basedOn w:val="4"/>
    <w:qFormat/>
    <w:uiPriority w:val="0"/>
    <w:rPr>
      <w:color w:val="1CC09F"/>
      <w:shd w:val="clear" w:fill="FFFFFF"/>
    </w:rPr>
  </w:style>
  <w:style w:type="character" w:customStyle="1" w:styleId="22">
    <w:name w:val="label12"/>
    <w:basedOn w:val="4"/>
    <w:qFormat/>
    <w:uiPriority w:val="0"/>
  </w:style>
  <w:style w:type="character" w:customStyle="1" w:styleId="23">
    <w:name w:val="hover11"/>
    <w:basedOn w:val="4"/>
    <w:qFormat/>
    <w:uiPriority w:val="0"/>
    <w:rPr>
      <w:shd w:val="clear" w:fill="EEEEEE"/>
    </w:rPr>
  </w:style>
  <w:style w:type="character" w:customStyle="1" w:styleId="24">
    <w:name w:val="active7"/>
    <w:basedOn w:val="4"/>
    <w:qFormat/>
    <w:uiPriority w:val="0"/>
    <w:rPr>
      <w:shd w:val="clear" w:fill="F6F6F6"/>
    </w:rPr>
  </w:style>
  <w:style w:type="character" w:customStyle="1" w:styleId="25">
    <w:name w:val="label13"/>
    <w:basedOn w:val="4"/>
    <w:qFormat/>
    <w:uiPriority w:val="0"/>
  </w:style>
  <w:style w:type="character" w:customStyle="1" w:styleId="26">
    <w:name w:val="label"/>
    <w:basedOn w:val="4"/>
    <w:qFormat/>
    <w:uiPriority w:val="0"/>
  </w:style>
  <w:style w:type="character" w:customStyle="1" w:styleId="27">
    <w:name w:val="label1"/>
    <w:basedOn w:val="4"/>
    <w:qFormat/>
    <w:uiPriority w:val="0"/>
  </w:style>
  <w:style w:type="character" w:customStyle="1" w:styleId="28">
    <w:name w:val="label2"/>
    <w:basedOn w:val="4"/>
    <w:qFormat/>
    <w:uiPriority w:val="0"/>
    <w:rPr>
      <w:color w:val="1CC09F"/>
      <w:shd w:val="clear" w:fill="FFFFFF"/>
    </w:rPr>
  </w:style>
  <w:style w:type="character" w:customStyle="1" w:styleId="29">
    <w:name w:val="label3"/>
    <w:basedOn w:val="4"/>
    <w:qFormat/>
    <w:uiPriority w:val="0"/>
    <w:rPr>
      <w:color w:val="1AB394"/>
      <w:shd w:val="clear" w:fill="FFFFFF"/>
    </w:rPr>
  </w:style>
  <w:style w:type="character" w:customStyle="1" w:styleId="30">
    <w:name w:val="hover"/>
    <w:basedOn w:val="4"/>
    <w:qFormat/>
    <w:uiPriority w:val="0"/>
    <w:rPr>
      <w:shd w:val="clear" w:fill="EEEEEE"/>
    </w:rPr>
  </w:style>
  <w:style w:type="character" w:customStyle="1" w:styleId="31">
    <w:name w:val="hover10"/>
    <w:basedOn w:val="4"/>
    <w:qFormat/>
    <w:uiPriority w:val="0"/>
    <w:rPr>
      <w:shd w:val="clear" w:fill="EEEEEE"/>
    </w:rPr>
  </w:style>
  <w:style w:type="character" w:customStyle="1" w:styleId="32">
    <w:name w:val="active2"/>
    <w:basedOn w:val="4"/>
    <w:qFormat/>
    <w:uiPriority w:val="0"/>
    <w:rPr>
      <w:shd w:val="clear" w:fill="F6F6F6"/>
    </w:rPr>
  </w:style>
  <w:style w:type="character" w:customStyle="1" w:styleId="33">
    <w:name w:val="active4"/>
    <w:basedOn w:val="4"/>
    <w:qFormat/>
    <w:uiPriority w:val="0"/>
    <w:rPr>
      <w:shd w:val="clear" w:fill="F6F6F6"/>
    </w:rPr>
  </w:style>
  <w:style w:type="character" w:customStyle="1" w:styleId="34">
    <w:name w:val="active5"/>
    <w:basedOn w:val="4"/>
    <w:qFormat/>
    <w:uiPriority w:val="0"/>
    <w:rPr>
      <w:shd w:val="clear" w:fill="F6F6F6"/>
    </w:rPr>
  </w:style>
  <w:style w:type="character" w:customStyle="1" w:styleId="35">
    <w:name w:val="hover9"/>
    <w:basedOn w:val="4"/>
    <w:qFormat/>
    <w:uiPriority w:val="0"/>
    <w:rPr>
      <w:shd w:val="clear" w:fill="EEEEEE"/>
    </w:rPr>
  </w:style>
  <w:style w:type="character" w:customStyle="1" w:styleId="36">
    <w:name w:val="label8"/>
    <w:basedOn w:val="4"/>
    <w:qFormat/>
    <w:uiPriority w:val="0"/>
    <w:rPr>
      <w:color w:val="1AB394"/>
      <w:shd w:val="clear" w:fill="FFFFFF"/>
    </w:rPr>
  </w:style>
  <w:style w:type="character" w:customStyle="1" w:styleId="37">
    <w:name w:val="active6"/>
    <w:basedOn w:val="4"/>
    <w:qFormat/>
    <w:uiPriority w:val="0"/>
    <w:rPr>
      <w:shd w:val="clear" w:fill="F6F6F6"/>
    </w:rPr>
  </w:style>
  <w:style w:type="character" w:customStyle="1" w:styleId="38">
    <w:name w:val="active3"/>
    <w:basedOn w:val="4"/>
    <w:qFormat/>
    <w:uiPriority w:val="0"/>
    <w:rPr>
      <w:shd w:val="clear" w:fill="F6F6F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yoooook</cp:lastModifiedBy>
  <dcterms:modified xsi:type="dcterms:W3CDTF">2026-07-16T02:02:08Z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07FA377C44DB4F059B2239FB323ACF7F</vt:lpwstr>
  </property>
</Properties>
</file>