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i w:val="0"/>
          <w:iCs w:val="0"/>
          <w:caps w:val="0"/>
          <w:color w:val="auto"/>
          <w:spacing w:val="0"/>
          <w:sz w:val="48"/>
          <w:szCs w:val="48"/>
          <w:shd w:val="clear" w:color="080000" w:fill="FFFFFF"/>
          <w:lang w:val="en-US" w:eastAsia="zh-CN"/>
        </w:rPr>
        <w:t>三江侗族</w:t>
      </w:r>
      <w:r>
        <w:rPr>
          <w:rFonts w:hint="eastAsia" w:ascii="方正小标宋简体" w:hAnsi="方正小标宋简体" w:eastAsia="方正小标宋简体" w:cs="方正小标宋简体"/>
          <w:i w:val="0"/>
          <w:iCs w:val="0"/>
          <w:caps w:val="0"/>
          <w:color w:val="auto"/>
          <w:spacing w:val="0"/>
          <w:sz w:val="48"/>
          <w:szCs w:val="48"/>
          <w:shd w:val="clear" w:color="080000" w:fill="FFFFFF"/>
        </w:rPr>
        <w:t>自治县</w:t>
      </w:r>
      <w:r>
        <w:rPr>
          <w:rFonts w:hint="eastAsia" w:ascii="方正小标宋简体" w:hAnsi="方正小标宋简体" w:eastAsia="方正小标宋简体" w:cs="方正小标宋简体"/>
          <w:i w:val="0"/>
          <w:iCs w:val="0"/>
          <w:caps w:val="0"/>
          <w:color w:val="auto"/>
          <w:spacing w:val="0"/>
          <w:sz w:val="48"/>
          <w:szCs w:val="48"/>
          <w:shd w:val="clear" w:color="080000" w:fill="FFFFFF"/>
          <w:lang w:eastAsia="zh-CN"/>
        </w:rPr>
        <w:t>发展和改革</w:t>
      </w:r>
      <w:r>
        <w:rPr>
          <w:rFonts w:hint="eastAsia" w:ascii="方正小标宋简体" w:hAnsi="方正小标宋简体" w:eastAsia="方正小标宋简体" w:cs="方正小标宋简体"/>
          <w:i w:val="0"/>
          <w:iCs w:val="0"/>
          <w:caps w:val="0"/>
          <w:color w:val="auto"/>
          <w:spacing w:val="0"/>
          <w:sz w:val="48"/>
          <w:szCs w:val="48"/>
          <w:shd w:val="clear" w:color="080000" w:fill="FFFFFF"/>
        </w:rPr>
        <w:t>局权责清单</w:t>
      </w:r>
    </w:p>
    <w:tbl>
      <w:tblPr>
        <w:tblStyle w:val="3"/>
        <w:tblW w:w="22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86"/>
        <w:gridCol w:w="645"/>
        <w:gridCol w:w="615"/>
        <w:gridCol w:w="585"/>
        <w:gridCol w:w="660"/>
        <w:gridCol w:w="754"/>
        <w:gridCol w:w="4121"/>
        <w:gridCol w:w="2348"/>
        <w:gridCol w:w="3806"/>
        <w:gridCol w:w="2306"/>
        <w:gridCol w:w="4264"/>
        <w:gridCol w:w="96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56" w:hRule="atLeast"/>
          <w:jc w:val="center"/>
        </w:trPr>
        <w:tc>
          <w:tcPr>
            <w:tcW w:w="486" w:type="dxa"/>
            <w:vMerge w:val="restart"/>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序号</w:t>
            </w:r>
          </w:p>
        </w:tc>
        <w:tc>
          <w:tcPr>
            <w:tcW w:w="645" w:type="dxa"/>
            <w:vMerge w:val="restart"/>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权力分类</w:t>
            </w:r>
          </w:p>
        </w:tc>
        <w:tc>
          <w:tcPr>
            <w:tcW w:w="6735" w:type="dxa"/>
            <w:gridSpan w:val="5"/>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权力清单</w:t>
            </w:r>
          </w:p>
        </w:tc>
        <w:tc>
          <w:tcPr>
            <w:tcW w:w="13684" w:type="dxa"/>
            <w:gridSpan w:val="5"/>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责任清单</w:t>
            </w:r>
          </w:p>
        </w:tc>
        <w:tc>
          <w:tcPr>
            <w:tcW w:w="675"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 w:hRule="atLeast"/>
          <w:jc w:val="center"/>
        </w:trPr>
        <w:tc>
          <w:tcPr>
            <w:tcW w:w="486" w:type="dxa"/>
            <w:vMerge w:val="continue"/>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p>
        </w:tc>
        <w:tc>
          <w:tcPr>
            <w:tcW w:w="645" w:type="dxa"/>
            <w:vMerge w:val="continue"/>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p>
        </w:tc>
        <w:tc>
          <w:tcPr>
            <w:tcW w:w="615"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项目名称</w:t>
            </w:r>
          </w:p>
        </w:tc>
        <w:tc>
          <w:tcPr>
            <w:tcW w:w="585"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子项名称</w:t>
            </w:r>
          </w:p>
        </w:tc>
        <w:tc>
          <w:tcPr>
            <w:tcW w:w="660"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实施</w:t>
            </w:r>
          </w:p>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主体</w:t>
            </w:r>
          </w:p>
        </w:tc>
        <w:tc>
          <w:tcPr>
            <w:tcW w:w="754"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承办的</w:t>
            </w:r>
          </w:p>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内设机构</w:t>
            </w:r>
          </w:p>
        </w:tc>
        <w:tc>
          <w:tcPr>
            <w:tcW w:w="4121"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实施依据</w:t>
            </w:r>
          </w:p>
        </w:tc>
        <w:tc>
          <w:tcPr>
            <w:tcW w:w="2348"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责任事项</w:t>
            </w:r>
          </w:p>
        </w:tc>
        <w:tc>
          <w:tcPr>
            <w:tcW w:w="3806"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责任事项依据</w:t>
            </w:r>
          </w:p>
        </w:tc>
        <w:tc>
          <w:tcPr>
            <w:tcW w:w="2306"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追责情形</w:t>
            </w:r>
          </w:p>
        </w:tc>
        <w:tc>
          <w:tcPr>
            <w:tcW w:w="4264"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追责依据</w:t>
            </w:r>
          </w:p>
        </w:tc>
        <w:tc>
          <w:tcPr>
            <w:tcW w:w="960"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免责事项</w:t>
            </w:r>
          </w:p>
        </w:tc>
        <w:tc>
          <w:tcPr>
            <w:tcW w:w="675" w:type="dxa"/>
            <w:tcBorders>
              <w:tl2br w:val="nil"/>
              <w:tr2bl w:val="nil"/>
            </w:tcBorders>
            <w:vAlign w:val="center"/>
          </w:tcPr>
          <w:p>
            <w:pPr>
              <w:adjustRightInd w:val="0"/>
              <w:snapToGrid w:val="0"/>
              <w:spacing w:line="300" w:lineRule="exact"/>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8" w:hRule="atLeast"/>
          <w:jc w:val="center"/>
        </w:trPr>
        <w:tc>
          <w:tcPr>
            <w:tcW w:w="486" w:type="dxa"/>
            <w:tcBorders>
              <w:tl2br w:val="nil"/>
              <w:tr2bl w:val="nil"/>
            </w:tcBorders>
            <w:vAlign w:val="center"/>
          </w:tcPr>
          <w:p>
            <w:pPr>
              <w:spacing w:line="240" w:lineRule="exact"/>
              <w:ind w:left="90" w:leftChars="0"/>
              <w:jc w:val="center"/>
              <w:rPr>
                <w:rFonts w:hint="eastAsia" w:ascii="仿宋_GB2312" w:hAnsi="仿宋_GB2312" w:eastAsia="仿宋_GB2312" w:cs="仿宋_GB2312"/>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1</w:t>
            </w:r>
          </w:p>
        </w:tc>
        <w:tc>
          <w:tcPr>
            <w:tcW w:w="645" w:type="dxa"/>
            <w:tcBorders>
              <w:tl2br w:val="nil"/>
              <w:tr2bl w:val="nil"/>
            </w:tcBorders>
            <w:vAlign w:val="center"/>
          </w:tcPr>
          <w:p>
            <w:pPr>
              <w:spacing w:line="240" w:lineRule="exact"/>
              <w:ind w:left="90" w:leftChars="0"/>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sz w:val="20"/>
                <w:szCs w:val="20"/>
                <w:lang w:eastAsia="zh-CN"/>
              </w:rPr>
              <w:t>行政许可</w:t>
            </w:r>
          </w:p>
        </w:tc>
        <w:tc>
          <w:tcPr>
            <w:tcW w:w="615" w:type="dxa"/>
            <w:tcBorders>
              <w:tl2br w:val="nil"/>
              <w:tr2bl w:val="nil"/>
            </w:tcBorders>
            <w:vAlign w:val="center"/>
          </w:tcPr>
          <w:p>
            <w:pPr>
              <w:spacing w:line="240" w:lineRule="exact"/>
              <w:ind w:left="90" w:leftChars="0"/>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snapToGrid w:val="0"/>
                <w:color w:val="auto"/>
                <w:sz w:val="20"/>
                <w:szCs w:val="20"/>
              </w:rPr>
              <w:t>固定资产投资项目核准（含国发〔</w:t>
            </w:r>
            <w:r>
              <w:rPr>
                <w:rFonts w:hint="default" w:ascii="Times New Roman" w:hAnsi="Times New Roman" w:eastAsia="仿宋_GB2312" w:cs="Times New Roman"/>
                <w:snapToGrid w:val="0"/>
                <w:color w:val="auto"/>
                <w:sz w:val="20"/>
                <w:szCs w:val="20"/>
              </w:rPr>
              <w:t>2016</w:t>
            </w:r>
            <w:r>
              <w:rPr>
                <w:rFonts w:hint="eastAsia" w:ascii="仿宋_GB2312" w:hAnsi="仿宋_GB2312" w:eastAsia="仿宋_GB2312" w:cs="仿宋_GB2312"/>
                <w:snapToGrid w:val="0"/>
                <w:color w:val="auto"/>
                <w:sz w:val="20"/>
                <w:szCs w:val="20"/>
              </w:rPr>
              <w:t>〕</w:t>
            </w:r>
            <w:r>
              <w:rPr>
                <w:rFonts w:hint="default" w:ascii="Times New Roman" w:hAnsi="Times New Roman" w:eastAsia="仿宋_GB2312" w:cs="Times New Roman"/>
                <w:snapToGrid w:val="0"/>
                <w:color w:val="auto"/>
                <w:sz w:val="20"/>
                <w:szCs w:val="20"/>
              </w:rPr>
              <w:t>72</w:t>
            </w:r>
            <w:r>
              <w:rPr>
                <w:rFonts w:hint="eastAsia" w:ascii="仿宋_GB2312" w:hAnsi="仿宋_GB2312" w:eastAsia="仿宋_GB2312" w:cs="仿宋_GB2312"/>
                <w:snapToGrid w:val="0"/>
                <w:color w:val="auto"/>
                <w:sz w:val="20"/>
                <w:szCs w:val="20"/>
              </w:rPr>
              <w:t>号文件规定的外商投资项目）</w:t>
            </w:r>
          </w:p>
        </w:tc>
        <w:tc>
          <w:tcPr>
            <w:tcW w:w="585" w:type="dxa"/>
            <w:tcBorders>
              <w:tl2br w:val="nil"/>
              <w:tr2bl w:val="nil"/>
            </w:tcBorders>
            <w:vAlign w:val="top"/>
          </w:tcPr>
          <w:p>
            <w:pPr>
              <w:widowControl/>
              <w:spacing w:before="100" w:beforeAutospacing="1" w:after="100" w:afterAutospacing="1" w:line="692" w:lineRule="atLeast"/>
              <w:jc w:val="left"/>
              <w:outlineLvl w:val="0"/>
              <w:rPr>
                <w:rFonts w:hint="eastAsia" w:ascii="仿宋_GB2312" w:hAnsi="仿宋_GB2312" w:eastAsia="仿宋_GB2312" w:cs="仿宋_GB2312"/>
                <w:color w:val="auto"/>
                <w:kern w:val="2"/>
                <w:sz w:val="20"/>
                <w:szCs w:val="20"/>
                <w:lang w:val="en-US" w:eastAsia="zh-CN" w:bidi="ar-SA"/>
              </w:rPr>
            </w:pPr>
          </w:p>
        </w:tc>
        <w:tc>
          <w:tcPr>
            <w:tcW w:w="66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top"/>
          </w:tcPr>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 【国务院决定】《国务院关于发布政府核准的投资项目目录（</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年本）的通知》（国发〔</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72</w:t>
            </w:r>
            <w:r>
              <w:rPr>
                <w:rFonts w:hint="eastAsia" w:ascii="仿宋_GB2312" w:hAnsi="仿宋_GB2312" w:eastAsia="仿宋_GB2312" w:cs="仿宋_GB2312"/>
                <w:color w:val="auto"/>
                <w:kern w:val="0"/>
                <w:sz w:val="20"/>
                <w:szCs w:val="20"/>
              </w:rPr>
              <w:t>号）八、由地方政府核准的项目，各省级政府可以根据本地实际情况，按照下放层级与承接能力相匹配的原则，具体划分地方各级政府的核准权限，制定本行政区域内统一的政府核准投资项目目录。由省级政府核准的项目，原则上不下放到地市级政府、一律不得下放到县级及以下政府。</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.【行政法规】《企业投资项目核准和备案管理条例》（</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673</w:t>
            </w:r>
            <w:r>
              <w:rPr>
                <w:rFonts w:hint="eastAsia" w:ascii="仿宋_GB2312" w:hAnsi="仿宋_GB2312" w:eastAsia="仿宋_GB2312" w:cs="仿宋_GB2312"/>
                <w:color w:val="auto"/>
                <w:kern w:val="0"/>
                <w:sz w:val="20"/>
                <w:szCs w:val="20"/>
              </w:rPr>
              <w:t>号）第三条：对关系国家安全、涉及全国重大生产力布局、战略性资源开发和重大公共利益等项目，实行核准管理，具体项目范围以及核准机关、核准权限依照政府核准的投资项目目录执行。</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.【部门规章】《企业投资项目核准和备案管理办法》（</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年国家发展改革委令第</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号）第三条：县级以上人民政府投资主管部门对投资项目履行综合管理职责。县级以上人民政府其他部门依照法律、法规规定，按照本级政府规定职责分工，对投资项目履行相应管理职责。第四条：根据项目不同情况，分别实行核准管理或备案管理。对关系国家安全、涉及全国重大生产力布局、战略性资源开发和重大公共利益等项目，实行核准管理。其他项目实行备案管理。</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.【规范性文件】《国务院关于投资体制改革的决定》（国发〔</w:t>
            </w:r>
            <w:r>
              <w:rPr>
                <w:rFonts w:hint="default" w:ascii="Times New Roman" w:hAnsi="Times New Roman" w:eastAsia="仿宋_GB2312" w:cs="Times New Roman"/>
                <w:color w:val="auto"/>
                <w:kern w:val="0"/>
                <w:sz w:val="20"/>
                <w:szCs w:val="20"/>
              </w:rPr>
              <w:t>2004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20</w:t>
            </w:r>
            <w:r>
              <w:rPr>
                <w:rFonts w:hint="eastAsia" w:ascii="仿宋_GB2312" w:hAnsi="仿宋_GB2312" w:eastAsia="仿宋_GB2312" w:cs="仿宋_GB2312"/>
                <w:color w:val="auto"/>
                <w:kern w:val="0"/>
                <w:sz w:val="20"/>
                <w:szCs w:val="20"/>
              </w:rPr>
              <w:t>号）二、转变政府管理职能，确立企业的投资主体地位 （一） ……对于企业不使用政府投资建设的项目，一律不再实行审批制，区别不同情况实行核准制和备案制。其中，政府仅对重大项目和限制类项目从维护社会公共利益角度进行核准。（二）……对于外商投资项目，政府还要从市场准入、资本项目管理等方面进行核准。</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.【规范性文件】《广西壮族自治区人民政府关于印发广西壮族自治区企业投资项目核准和备案管理办法的通知》（桂政发〔</w:t>
            </w:r>
            <w:r>
              <w:rPr>
                <w:rFonts w:hint="default" w:ascii="Times New Roman" w:hAnsi="Times New Roman" w:eastAsia="仿宋_GB2312" w:cs="Times New Roman"/>
                <w:color w:val="auto"/>
                <w:kern w:val="0"/>
                <w:sz w:val="20"/>
                <w:szCs w:val="20"/>
              </w:rPr>
              <w:t>2018</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35</w:t>
            </w:r>
            <w:r>
              <w:rPr>
                <w:rFonts w:hint="eastAsia" w:ascii="仿宋_GB2312" w:hAnsi="仿宋_GB2312" w:eastAsia="仿宋_GB2312" w:cs="仿宋_GB2312"/>
                <w:color w:val="auto"/>
                <w:kern w:val="0"/>
                <w:sz w:val="20"/>
                <w:szCs w:val="20"/>
              </w:rPr>
              <w:t>号）第五条：依据自治区和设区市、县（市、区）人民政府确定的职责分工，具有项目核准权限的行政机关包括：发展改革、工业和信息化或者行政审批部门。实行核准管理的具体项目范围、核准权限，由自治区人民政府发布的《政府核准的投资项目目录（广西壮族自治区</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年本）》确定。法律、行政法规和国务院对项目核准的范围、权限有专门规定的，从其规定。”</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2"/>
                <w:sz w:val="20"/>
                <w:szCs w:val="20"/>
                <w:lang w:val="en-US" w:eastAsia="zh-CN" w:bidi="ar-SA"/>
              </w:rPr>
            </w:pPr>
          </w:p>
        </w:tc>
        <w:tc>
          <w:tcPr>
            <w:tcW w:w="2348" w:type="dxa"/>
            <w:tcBorders>
              <w:tl2br w:val="nil"/>
              <w:tr2bl w:val="nil"/>
            </w:tcBorders>
            <w:vAlign w:val="top"/>
          </w:tcPr>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.受理责任：公布依法应当提交的材料；一次性告知补正材料；依法受理或不予受理（不予受理应告知理由）。</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审查责任：对材料从是否符合国家法律法规和宏观调控政策，是否符合发展规划、产业政策、技术政策和准入标准，是否合理开发并有效利用了资源，是否不影响我国国家安全、经济安全和生态安全，是否对公众利益特别是项目建设地的公众利益不产生重大不利影响五个方面进行审核，并提出审查意见。</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.决定责任：作出决定（不予行政许可的应当告知理由），按时办结并向社会公开。</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.送达责任：制发送达项目核准批复文件，信息公开。</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.监管责任：会同行业管理、城乡规划、自然资源、环境保护等部门，加强对企业投资项目的监管；对于未按规定取得规划选址、用地预审等的项目不予核准。</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.其他法律法规规章文件规定应履行的责任。</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color w:val="auto"/>
                <w:kern w:val="0"/>
                <w:sz w:val="20"/>
                <w:szCs w:val="20"/>
              </w:rPr>
              <w:t>（以上职责由行政审批股按照法律法规严格执行)</w:t>
            </w:r>
          </w:p>
        </w:tc>
        <w:tc>
          <w:tcPr>
            <w:tcW w:w="3806" w:type="dxa"/>
            <w:tcBorders>
              <w:tl2br w:val="nil"/>
              <w:tr2bl w:val="nil"/>
            </w:tcBorders>
            <w:vAlign w:val="top"/>
          </w:tcPr>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.【部门规章】《企业投资项目核准和备案管理办法》（</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年国家发展改革委令第</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号）第二十五条：申报材料不齐全或者不符合法定形式的，项目核准机关应当在收到申报材料之日起</w:t>
            </w: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个工作日内一次告知项目单位补充相关文件。或对相关内容进行调整。逾期不告知的，自收到项目申报材料之日起即为受理。项目核准机关受理或者不予受理申报材料，都应当出具加盖本机关专用印章并注明日期的书面凭证。对于受理的申报材料，书面凭证应注明项目代码，项目单位可以根据项目代码在线查询、监督核准过程和结果。</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.【部门规章】《企业投资项目核准和备案管理办法》（</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年国家发展改革委令第</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号）第三十五条：项目核准机关应当从以下方面对项目进行审查：（一）是否危害经济安全、社会安全、生态安全等国家安全；（二）是否符合相关发展建设规划、产业政策和技术标准；（三）是否合理开发并有效利用资源；（四）是否对重大公共利益产生不利影响；</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.【部门规章】《企业投资项目核准和备案管理办法》（</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年国家发展改革委令第</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号）第三十一条：项目核准机关应当在正式受理申报材料后</w:t>
            </w:r>
            <w:r>
              <w:rPr>
                <w:rFonts w:hint="default" w:ascii="Times New Roman" w:hAnsi="Times New Roman" w:eastAsia="仿宋_GB2312" w:cs="Times New Roman"/>
                <w:color w:val="auto"/>
                <w:kern w:val="0"/>
                <w:sz w:val="20"/>
                <w:szCs w:val="20"/>
              </w:rPr>
              <w:t>20</w:t>
            </w:r>
            <w:r>
              <w:rPr>
                <w:rFonts w:hint="eastAsia" w:ascii="仿宋_GB2312" w:hAnsi="仿宋_GB2312" w:eastAsia="仿宋_GB2312" w:cs="仿宋_GB2312"/>
                <w:color w:val="auto"/>
                <w:kern w:val="0"/>
                <w:sz w:val="20"/>
                <w:szCs w:val="20"/>
              </w:rPr>
              <w:t xml:space="preserve"> 个工作日内作出是否予以核准的决定，或向上级项目核准机关提出审核意见。项目情况复杂或者需要征求有关单位意见的，经本行政机关主要负责人批准，可延长核准时限，但延长的时限不得超过</w:t>
            </w:r>
            <w:r>
              <w:rPr>
                <w:rFonts w:hint="default" w:ascii="Times New Roman" w:hAnsi="Times New Roman" w:eastAsia="仿宋_GB2312" w:cs="Times New Roman"/>
                <w:color w:val="auto"/>
                <w:kern w:val="0"/>
                <w:sz w:val="20"/>
                <w:szCs w:val="20"/>
              </w:rPr>
              <w:t>40</w:t>
            </w:r>
            <w:r>
              <w:rPr>
                <w:rFonts w:hint="eastAsia" w:ascii="仿宋_GB2312" w:hAnsi="仿宋_GB2312" w:eastAsia="仿宋_GB2312" w:cs="仿宋_GB2312"/>
                <w:color w:val="auto"/>
                <w:kern w:val="0"/>
                <w:sz w:val="20"/>
                <w:szCs w:val="20"/>
              </w:rPr>
              <w:t>个工作日，并应当将延长期限的理由告知项目单位。第三十二条项目符合核准条件的，项目核准机关应当对项目予以核准并向项目单位出具项目核准文件。项目不符合核准条件的，项目核准机关应当出具不予核准的书面通知，并说明不予核准的理由。属于国务院核准权限的项目，由国务院投资主管部门根据国务院的决定向项目单位出具项目核准文件或者不予核准的书面通知。项目核准机关出具项目核准文件或者不予核准的书面通知应当抄送同级行业管理、城乡规划、国土资源、水行政管理、环境保护、节能审查等相关部门和下级机关。</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.【部门规章】《企业投资项目核准和备案管理办法》（</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年国家发展改革委令第</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号）第四十六条：项目核准和备案机关、行业管理、城乡规划（建设）、国家安全、国土（海洋）资源、环境保护、节能审查、金融监管、安全生产监管、审计等部门，应当按照谁审批谁监管、谁主管谁监管的原则，采取在线监测、现场核查等方式，依法加强对项目的事中事后监管。第四十八条：对不符合法定条件的项目予以核准，或者超越法定职权予以核准的，应依法予以撤销。</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2"/>
                <w:sz w:val="20"/>
                <w:szCs w:val="20"/>
                <w:lang w:val="en-US" w:eastAsia="zh-CN" w:bidi="ar-SA"/>
              </w:rPr>
            </w:pPr>
          </w:p>
        </w:tc>
        <w:tc>
          <w:tcPr>
            <w:tcW w:w="2306" w:type="dxa"/>
            <w:tcBorders>
              <w:tl2br w:val="nil"/>
              <w:tr2bl w:val="nil"/>
            </w:tcBorders>
            <w:vAlign w:val="top"/>
          </w:tcPr>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.对符合法定条件的项目不予受理、许可的；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.对不符合有关法律法规的项目而予以核准同意的；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.监管不力或怠于履行职责的；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.擅自增设、变更项目审查程序或核准条件的；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.其他违反法律法规规定的行为。</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2"/>
                <w:sz w:val="20"/>
                <w:szCs w:val="20"/>
                <w:lang w:val="en-US" w:eastAsia="zh-CN" w:bidi="ar-SA"/>
              </w:rPr>
            </w:pPr>
          </w:p>
        </w:tc>
        <w:tc>
          <w:tcPr>
            <w:tcW w:w="4264" w:type="dxa"/>
            <w:tcBorders>
              <w:tl2br w:val="nil"/>
              <w:tr2bl w:val="nil"/>
            </w:tcBorders>
            <w:vAlign w:val="top"/>
          </w:tcPr>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【法律】《中华人民共和国行政许可法》</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第七十二条：行政机关及其工作人员违反本法的规定，有下列情形之一的，由其上级行政机关或者监察机关责令改正；情节严重的，对直接负责的主管人员和其他直接责任人员依法给予行政处分：</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（一）对符合法定条件的行政许可申请不予受理的；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（二）不在办公场所公示依法应当公示的材料的；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（三）在受理、审查、决定行政许可过程中，未向申请人、利害关系人履行法定告知义务的；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（四）申请人提交的申请材料不齐全、不符合法定形式，不一次告知申请人必须补正的全部内容的；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（五）违法披露申请人提交的商业秘密、未披露信息或者保密商务信息的；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（六）以转让技术作为取得行政许可的条件，或者在实施行政许可的过程中直接或者间接地要求转让技术的；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（七）未依法说明不受理行政许可申请或者不予行政许可的理由的；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（八）依法应当举行听证而不举行听证的。</w:t>
            </w:r>
          </w:p>
          <w:p>
            <w:pPr>
              <w:wordWrap/>
              <w:spacing w:before="0" w:after="0" w:line="240" w:lineRule="auto"/>
              <w:ind w:left="0" w:leftChars="0" w:right="0" w:firstLine="400" w:firstLineChars="200"/>
              <w:outlineLvl w:val="9"/>
              <w:rPr>
                <w:rFonts w:hint="eastAsia" w:ascii="仿宋_GB2312" w:hAnsi="仿宋_GB2312" w:eastAsia="仿宋_GB2312" w:cs="仿宋_GB2312"/>
                <w:color w:val="auto"/>
                <w:kern w:val="2"/>
                <w:sz w:val="20"/>
                <w:szCs w:val="20"/>
                <w:lang w:val="en-US" w:eastAsia="zh-CN" w:bidi="ar-SA"/>
              </w:rPr>
            </w:pPr>
          </w:p>
        </w:tc>
        <w:tc>
          <w:tcPr>
            <w:tcW w:w="960" w:type="dxa"/>
            <w:tcBorders>
              <w:tl2br w:val="nil"/>
              <w:tr2bl w:val="nil"/>
            </w:tcBorders>
            <w:vAlign w:val="center"/>
          </w:tcPr>
          <w:p>
            <w:pPr>
              <w:spacing w:line="240" w:lineRule="exact"/>
              <w:ind w:left="90" w:leftChars="0"/>
              <w:jc w:val="center"/>
              <w:rPr>
                <w:rFonts w:hint="eastAsia" w:ascii="仿宋_GB2312" w:hAnsi="仿宋_GB2312" w:eastAsia="仿宋_GB2312" w:cs="仿宋_GB2312"/>
                <w:color w:val="auto"/>
                <w:kern w:val="2"/>
                <w:sz w:val="20"/>
                <w:szCs w:val="20"/>
                <w:lang w:val="en-US" w:eastAsia="zh-CN" w:bidi="ar-SA"/>
              </w:rPr>
            </w:pPr>
            <w:r>
              <w:rPr>
                <w:rFonts w:hint="eastAsia" w:ascii="仿宋_GB2312" w:hAnsi="仿宋_GB2312" w:eastAsia="仿宋_GB2312" w:cs="仿宋_GB2312"/>
                <w:i w:val="0"/>
                <w:iCs w:val="0"/>
                <w:caps w:val="0"/>
                <w:color w:val="auto"/>
                <w:spacing w:val="0"/>
                <w:sz w:val="20"/>
                <w:szCs w:val="20"/>
              </w:rPr>
              <w:t>法律法规规定的免责情形及自治区党委、自治区人民政府有关文件中明确的免责情形。</w:t>
            </w:r>
          </w:p>
        </w:tc>
        <w:tc>
          <w:tcPr>
            <w:tcW w:w="675" w:type="dxa"/>
            <w:tcBorders>
              <w:tl2br w:val="nil"/>
              <w:tr2bl w:val="nil"/>
            </w:tcBorders>
            <w:vAlign w:val="top"/>
          </w:tcPr>
          <w:p>
            <w:pPr>
              <w:adjustRightInd w:val="0"/>
              <w:snapToGrid w:val="0"/>
              <w:spacing w:line="300" w:lineRule="exact"/>
              <w:jc w:val="center"/>
              <w:rPr>
                <w:rFonts w:hint="eastAsia" w:ascii="方正黑体_GBK" w:hAnsi="黑体" w:eastAsia="方正黑体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631" w:hRule="atLeast"/>
          <w:jc w:val="center"/>
        </w:trPr>
        <w:tc>
          <w:tcPr>
            <w:tcW w:w="486"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2</w:t>
            </w:r>
          </w:p>
        </w:tc>
        <w:tc>
          <w:tcPr>
            <w:tcW w:w="64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snapToGrid w:val="0"/>
                <w:color w:val="auto"/>
                <w:sz w:val="20"/>
                <w:szCs w:val="20"/>
              </w:rPr>
              <w:t>行政</w:t>
            </w:r>
            <w:r>
              <w:rPr>
                <w:rFonts w:hint="eastAsia" w:ascii="仿宋_GB2312" w:hAnsi="仿宋_GB2312" w:eastAsia="仿宋_GB2312" w:cs="仿宋_GB2312"/>
                <w:snapToGrid w:val="0"/>
                <w:color w:val="auto"/>
                <w:sz w:val="20"/>
                <w:szCs w:val="20"/>
                <w:lang w:val="en-US" w:eastAsia="zh-CN"/>
              </w:rPr>
              <w:t>许可</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固定资产投资项目节能审查</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.【法律】《中华人民共和国节约能源法》第十五条：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.【部门规章】《固定资产投资项目节能审查办法》（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44</w:t>
            </w:r>
            <w:r>
              <w:rPr>
                <w:rFonts w:hint="eastAsia" w:ascii="仿宋_GB2312" w:hAnsi="仿宋_GB2312" w:eastAsia="仿宋_GB2312" w:cs="仿宋_GB2312"/>
                <w:color w:val="auto"/>
                <w:kern w:val="0"/>
                <w:sz w:val="20"/>
                <w:szCs w:val="20"/>
                <w:lang w:val="en-US" w:eastAsia="zh-CN"/>
              </w:rPr>
              <w:t>号）第三条：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p>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第八条： 节能审查机关受理固定资产投资项目节能报告后，应委托有关机构进行评审，形成评审意见，作为节能审查的重要依据。</w:t>
            </w:r>
          </w:p>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.【规范性文件】《广西壮族自治区固定资产投资项目节能审查办法》（桂发改环资〔</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635</w:t>
            </w:r>
            <w:r>
              <w:rPr>
                <w:rFonts w:hint="eastAsia" w:ascii="仿宋_GB2312" w:hAnsi="仿宋_GB2312" w:eastAsia="仿宋_GB2312" w:cs="仿宋_GB2312"/>
                <w:color w:val="auto"/>
                <w:kern w:val="0"/>
                <w:sz w:val="20"/>
                <w:szCs w:val="20"/>
                <w:lang w:val="en-US" w:eastAsia="zh-CN"/>
              </w:rPr>
              <w:t>号）第五条：年综合能源消费量在</w:t>
            </w:r>
            <w:r>
              <w:rPr>
                <w:rFonts w:hint="default" w:ascii="Times New Roman" w:hAnsi="Times New Roman" w:eastAsia="仿宋_GB2312" w:cs="Times New Roman"/>
                <w:color w:val="auto"/>
                <w:kern w:val="0"/>
                <w:sz w:val="20"/>
                <w:szCs w:val="20"/>
                <w:lang w:val="en-US" w:eastAsia="zh-CN"/>
              </w:rPr>
              <w:t>1000</w:t>
            </w:r>
            <w:r>
              <w:rPr>
                <w:rFonts w:hint="eastAsia" w:ascii="仿宋_GB2312" w:hAnsi="仿宋_GB2312" w:eastAsia="仿宋_GB2312" w:cs="仿宋_GB2312"/>
                <w:color w:val="auto"/>
                <w:kern w:val="0"/>
                <w:sz w:val="20"/>
                <w:szCs w:val="20"/>
                <w:lang w:val="en-US" w:eastAsia="zh-CN"/>
              </w:rPr>
              <w:t>吨标准煤（含</w:t>
            </w:r>
            <w:r>
              <w:rPr>
                <w:rFonts w:hint="default" w:ascii="Times New Roman" w:hAnsi="Times New Roman" w:eastAsia="仿宋_GB2312" w:cs="Times New Roman"/>
                <w:color w:val="auto"/>
                <w:kern w:val="0"/>
                <w:sz w:val="20"/>
                <w:szCs w:val="20"/>
                <w:lang w:val="en-US" w:eastAsia="zh-CN"/>
              </w:rPr>
              <w:t>1000</w:t>
            </w:r>
            <w:r>
              <w:rPr>
                <w:rFonts w:hint="eastAsia" w:ascii="仿宋_GB2312" w:hAnsi="仿宋_GB2312" w:eastAsia="仿宋_GB2312" w:cs="仿宋_GB2312"/>
                <w:color w:val="auto"/>
                <w:kern w:val="0"/>
                <w:sz w:val="20"/>
                <w:szCs w:val="20"/>
                <w:lang w:val="en-US" w:eastAsia="zh-CN"/>
              </w:rPr>
              <w:t>吨标准煤；改扩建项目按照建成投产后年综合能源消费增量计算，电力折算系数按当量值，下同）以上，或年电力消费量</w:t>
            </w:r>
            <w:r>
              <w:rPr>
                <w:rFonts w:hint="default" w:ascii="Times New Roman" w:hAnsi="Times New Roman" w:eastAsia="仿宋_GB2312" w:cs="Times New Roman"/>
                <w:color w:val="auto"/>
                <w:kern w:val="0"/>
                <w:sz w:val="20"/>
                <w:szCs w:val="20"/>
                <w:lang w:val="en-US" w:eastAsia="zh-CN"/>
              </w:rPr>
              <w:t>500</w:t>
            </w:r>
            <w:r>
              <w:rPr>
                <w:rFonts w:hint="eastAsia" w:ascii="仿宋_GB2312" w:hAnsi="仿宋_GB2312" w:eastAsia="仿宋_GB2312" w:cs="仿宋_GB2312"/>
                <w:color w:val="auto"/>
                <w:kern w:val="0"/>
                <w:sz w:val="20"/>
                <w:szCs w:val="20"/>
                <w:lang w:val="en-US" w:eastAsia="zh-CN"/>
              </w:rPr>
              <w:t>万千瓦时以上（含</w:t>
            </w:r>
            <w:r>
              <w:rPr>
                <w:rFonts w:hint="default" w:ascii="Times New Roman" w:hAnsi="Times New Roman" w:eastAsia="仿宋_GB2312" w:cs="Times New Roman"/>
                <w:color w:val="auto"/>
                <w:kern w:val="0"/>
                <w:sz w:val="20"/>
                <w:szCs w:val="20"/>
                <w:lang w:val="en-US" w:eastAsia="zh-CN"/>
              </w:rPr>
              <w:t>500</w:t>
            </w:r>
            <w:r>
              <w:rPr>
                <w:rFonts w:hint="eastAsia" w:ascii="仿宋_GB2312" w:hAnsi="仿宋_GB2312" w:eastAsia="仿宋_GB2312" w:cs="仿宋_GB2312"/>
                <w:color w:val="auto"/>
                <w:kern w:val="0"/>
                <w:sz w:val="20"/>
                <w:szCs w:val="20"/>
                <w:lang w:val="en-US" w:eastAsia="zh-CN"/>
              </w:rPr>
              <w:t>万千瓦时）的固定资产投资项目，需要进行节能审查。国务院投资主管部门核报国务院审批、核准以及国务院投资主管部门审批、核准的固定资产投资项目，高耗能高排放（简称“两高”）项目，年综合能源消费量</w:t>
            </w:r>
            <w:r>
              <w:rPr>
                <w:rFonts w:hint="default" w:ascii="Times New Roman" w:hAnsi="Times New Roman" w:eastAsia="仿宋_GB2312" w:cs="Times New Roman"/>
                <w:color w:val="auto"/>
                <w:kern w:val="0"/>
                <w:sz w:val="20"/>
                <w:szCs w:val="20"/>
                <w:lang w:val="en-US" w:eastAsia="zh-CN"/>
              </w:rPr>
              <w:t>5000</w:t>
            </w:r>
            <w:r>
              <w:rPr>
                <w:rFonts w:hint="eastAsia" w:ascii="仿宋_GB2312" w:hAnsi="仿宋_GB2312" w:eastAsia="仿宋_GB2312" w:cs="仿宋_GB2312"/>
                <w:color w:val="auto"/>
                <w:kern w:val="0"/>
                <w:sz w:val="20"/>
                <w:szCs w:val="20"/>
                <w:lang w:val="en-US" w:eastAsia="zh-CN"/>
              </w:rPr>
              <w:t>吨标准煤以上（含</w:t>
            </w:r>
            <w:r>
              <w:rPr>
                <w:rFonts w:hint="default" w:ascii="Times New Roman" w:hAnsi="Times New Roman" w:eastAsia="仿宋_GB2312" w:cs="Times New Roman"/>
                <w:color w:val="auto"/>
                <w:kern w:val="0"/>
                <w:sz w:val="20"/>
                <w:szCs w:val="20"/>
                <w:lang w:val="en-US" w:eastAsia="zh-CN"/>
              </w:rPr>
              <w:t>5000</w:t>
            </w:r>
            <w:r>
              <w:rPr>
                <w:rFonts w:hint="eastAsia" w:ascii="仿宋_GB2312" w:hAnsi="仿宋_GB2312" w:eastAsia="仿宋_GB2312" w:cs="仿宋_GB2312"/>
                <w:color w:val="auto"/>
                <w:kern w:val="0"/>
                <w:sz w:val="20"/>
                <w:szCs w:val="20"/>
                <w:lang w:val="en-US" w:eastAsia="zh-CN"/>
              </w:rPr>
              <w:t>吨标准煤），或年电力消费量在</w:t>
            </w:r>
            <w:r>
              <w:rPr>
                <w:rFonts w:hint="default" w:ascii="Times New Roman" w:hAnsi="Times New Roman" w:eastAsia="仿宋_GB2312" w:cs="Times New Roman"/>
                <w:color w:val="auto"/>
                <w:kern w:val="0"/>
                <w:sz w:val="20"/>
                <w:szCs w:val="20"/>
                <w:lang w:val="en-US" w:eastAsia="zh-CN"/>
              </w:rPr>
              <w:t>2500</w:t>
            </w:r>
            <w:r>
              <w:rPr>
                <w:rFonts w:hint="eastAsia" w:ascii="仿宋_GB2312" w:hAnsi="仿宋_GB2312" w:eastAsia="仿宋_GB2312" w:cs="仿宋_GB2312"/>
                <w:color w:val="auto"/>
                <w:kern w:val="0"/>
                <w:sz w:val="20"/>
                <w:szCs w:val="20"/>
                <w:lang w:val="en-US" w:eastAsia="zh-CN"/>
              </w:rPr>
              <w:t>万千瓦时以上（含</w:t>
            </w:r>
            <w:r>
              <w:rPr>
                <w:rFonts w:hint="default" w:ascii="Times New Roman" w:hAnsi="Times New Roman" w:eastAsia="仿宋_GB2312" w:cs="Times New Roman"/>
                <w:color w:val="auto"/>
                <w:kern w:val="0"/>
                <w:sz w:val="20"/>
                <w:szCs w:val="20"/>
                <w:lang w:val="en-US" w:eastAsia="zh-CN"/>
              </w:rPr>
              <w:t>2500</w:t>
            </w:r>
            <w:r>
              <w:rPr>
                <w:rFonts w:hint="eastAsia" w:ascii="仿宋_GB2312" w:hAnsi="仿宋_GB2312" w:eastAsia="仿宋_GB2312" w:cs="仿宋_GB2312"/>
                <w:color w:val="auto"/>
                <w:kern w:val="0"/>
                <w:sz w:val="20"/>
                <w:szCs w:val="20"/>
                <w:lang w:val="en-US" w:eastAsia="zh-CN"/>
              </w:rPr>
              <w:t>万千瓦时）的固定资产投资项目，其节能审查由自治区节能审查机关负责。年综合能源消费量</w:t>
            </w:r>
            <w:r>
              <w:rPr>
                <w:rFonts w:hint="default" w:ascii="Times New Roman" w:hAnsi="Times New Roman" w:eastAsia="仿宋_GB2312" w:cs="Times New Roman"/>
                <w:color w:val="auto"/>
                <w:kern w:val="0"/>
                <w:sz w:val="20"/>
                <w:szCs w:val="20"/>
                <w:lang w:val="en-US" w:eastAsia="zh-CN"/>
              </w:rPr>
              <w:t>1000</w:t>
            </w:r>
            <w:r>
              <w:rPr>
                <w:rFonts w:hint="eastAsia" w:ascii="仿宋_GB2312" w:hAnsi="仿宋_GB2312" w:eastAsia="仿宋_GB2312" w:cs="仿宋_GB2312"/>
                <w:color w:val="auto"/>
                <w:kern w:val="0"/>
                <w:sz w:val="20"/>
                <w:szCs w:val="20"/>
                <w:lang w:val="en-US" w:eastAsia="zh-CN"/>
              </w:rPr>
              <w:t>吨至</w:t>
            </w:r>
            <w:r>
              <w:rPr>
                <w:rFonts w:hint="default" w:ascii="Times New Roman" w:hAnsi="Times New Roman" w:eastAsia="仿宋_GB2312" w:cs="Times New Roman"/>
                <w:color w:val="auto"/>
                <w:kern w:val="0"/>
                <w:sz w:val="20"/>
                <w:szCs w:val="20"/>
                <w:lang w:val="en-US" w:eastAsia="zh-CN"/>
              </w:rPr>
              <w:t>5000</w:t>
            </w:r>
            <w:r>
              <w:rPr>
                <w:rFonts w:hint="eastAsia" w:ascii="仿宋_GB2312" w:hAnsi="仿宋_GB2312" w:eastAsia="仿宋_GB2312" w:cs="仿宋_GB2312"/>
                <w:color w:val="auto"/>
                <w:kern w:val="0"/>
                <w:sz w:val="20"/>
                <w:szCs w:val="20"/>
                <w:lang w:val="en-US" w:eastAsia="zh-CN"/>
              </w:rPr>
              <w:t>吨标准煤，或年电力消费量</w:t>
            </w:r>
            <w:r>
              <w:rPr>
                <w:rFonts w:hint="default" w:ascii="Times New Roman" w:hAnsi="Times New Roman" w:eastAsia="仿宋_GB2312" w:cs="Times New Roman"/>
                <w:color w:val="auto"/>
                <w:kern w:val="0"/>
                <w:sz w:val="20"/>
                <w:szCs w:val="20"/>
                <w:lang w:val="en-US" w:eastAsia="zh-CN"/>
              </w:rPr>
              <w:t>500</w:t>
            </w:r>
            <w:r>
              <w:rPr>
                <w:rFonts w:hint="eastAsia" w:ascii="仿宋_GB2312" w:hAnsi="仿宋_GB2312" w:eastAsia="仿宋_GB2312" w:cs="仿宋_GB2312"/>
                <w:color w:val="auto"/>
                <w:kern w:val="0"/>
                <w:sz w:val="20"/>
                <w:szCs w:val="20"/>
                <w:lang w:val="en-US" w:eastAsia="zh-CN"/>
              </w:rPr>
              <w:t>万千瓦时至</w:t>
            </w:r>
            <w:r>
              <w:rPr>
                <w:rFonts w:hint="default" w:ascii="Times New Roman" w:hAnsi="Times New Roman" w:eastAsia="仿宋_GB2312" w:cs="Times New Roman"/>
                <w:color w:val="auto"/>
                <w:kern w:val="0"/>
                <w:sz w:val="20"/>
                <w:szCs w:val="20"/>
                <w:lang w:val="en-US" w:eastAsia="zh-CN"/>
              </w:rPr>
              <w:t>2500</w:t>
            </w:r>
            <w:r>
              <w:rPr>
                <w:rFonts w:hint="eastAsia" w:ascii="仿宋_GB2312" w:hAnsi="仿宋_GB2312" w:eastAsia="仿宋_GB2312" w:cs="仿宋_GB2312"/>
                <w:color w:val="auto"/>
                <w:kern w:val="0"/>
                <w:sz w:val="20"/>
                <w:szCs w:val="20"/>
                <w:lang w:val="en-US" w:eastAsia="zh-CN"/>
              </w:rPr>
              <w:t>万千瓦时的固定资产投资项目，其节能审查按照项目管理权限实行分级管理，即自治区、设区市、县（市、区）投资主管部门核报本级人民政府审批或核准的项目，以及自治区、设区市、县（市、区）投资主管部门审批、核准或备案的项目，其节能审查由本级节能审查机关负责。</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第六条： 年综合能源消费量不满</w:t>
            </w:r>
            <w:r>
              <w:rPr>
                <w:rFonts w:hint="default" w:ascii="Times New Roman" w:hAnsi="Times New Roman" w:eastAsia="仿宋_GB2312" w:cs="Times New Roman"/>
                <w:color w:val="auto"/>
                <w:kern w:val="0"/>
                <w:sz w:val="20"/>
                <w:szCs w:val="20"/>
                <w:lang w:val="en-US" w:eastAsia="zh-CN"/>
              </w:rPr>
              <w:t>1000</w:t>
            </w:r>
            <w:r>
              <w:rPr>
                <w:rFonts w:hint="eastAsia" w:ascii="仿宋_GB2312" w:hAnsi="仿宋_GB2312" w:eastAsia="仿宋_GB2312" w:cs="仿宋_GB2312"/>
                <w:color w:val="auto"/>
                <w:kern w:val="0"/>
                <w:sz w:val="20"/>
                <w:szCs w:val="20"/>
                <w:lang w:val="en-US" w:eastAsia="zh-CN"/>
              </w:rPr>
              <w:t>吨标准煤且年电力消费量不满</w:t>
            </w:r>
            <w:r>
              <w:rPr>
                <w:rFonts w:hint="default" w:ascii="Times New Roman" w:hAnsi="Times New Roman" w:eastAsia="仿宋_GB2312" w:cs="Times New Roman"/>
                <w:color w:val="auto"/>
                <w:kern w:val="0"/>
                <w:sz w:val="20"/>
                <w:szCs w:val="20"/>
                <w:lang w:val="en-US" w:eastAsia="zh-CN"/>
              </w:rPr>
              <w:t>500</w:t>
            </w:r>
            <w:r>
              <w:rPr>
                <w:rFonts w:hint="eastAsia" w:ascii="仿宋_GB2312" w:hAnsi="仿宋_GB2312" w:eastAsia="仿宋_GB2312" w:cs="仿宋_GB2312"/>
                <w:color w:val="auto"/>
                <w:kern w:val="0"/>
                <w:sz w:val="20"/>
                <w:szCs w:val="20"/>
                <w:lang w:val="en-US" w:eastAsia="zh-CN"/>
              </w:rPr>
              <w:t>万千瓦时，以及用能工艺简单、节能潜力小的行业（根据国家发展改革委公布的具体行业目录执行）的固定资产投资项目，应按相关行业节能标准、规范建设，不再单独进行节能审查。</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．受理责任：公示依法应当提交的材料；一次性告知补正材料；依法受理或不予受理（不予受理应当告知理由）。</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．审查责任：委托有关机构对项目建设单位提交的项目节能评估报告进行评审，根据评审机构形成的评审意见，依法对项目节能评估报告进行审查。</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．决定责任：作出决定（不予行政许可的应当告知理由）；按时办结。</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．送达责任：制发送达项目节能评估报告审查意见；信息公开。</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．监管责任：在固定资产投资项目设计、施工及投入使用过程中，加强对节能评估报告及其节能审查意见的落实情况进行监督检查。</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.【部门规章】《固定资产投资项目节能审查办法》（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44</w:t>
            </w:r>
            <w:r>
              <w:rPr>
                <w:rFonts w:hint="eastAsia" w:ascii="仿宋_GB2312" w:hAnsi="仿宋_GB2312" w:eastAsia="仿宋_GB2312" w:cs="仿宋_GB2312"/>
                <w:color w:val="auto"/>
                <w:kern w:val="0"/>
                <w:sz w:val="20"/>
                <w:szCs w:val="20"/>
                <w:lang w:val="en-US" w:eastAsia="zh-CN"/>
              </w:rPr>
              <w:t>号）第五条：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w:t>
            </w:r>
          </w:p>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.【部门规章】《固定资产投资项目节能审查办法》（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44</w:t>
            </w:r>
            <w:r>
              <w:rPr>
                <w:rFonts w:hint="eastAsia" w:ascii="仿宋_GB2312" w:hAnsi="仿宋_GB2312" w:eastAsia="仿宋_GB2312" w:cs="仿宋_GB2312"/>
                <w:color w:val="auto"/>
                <w:kern w:val="0"/>
                <w:sz w:val="20"/>
                <w:szCs w:val="20"/>
                <w:lang w:val="en-US" w:eastAsia="zh-CN"/>
              </w:rPr>
              <w:t>号）第八条：节能审查机关受理节能报告后，应委托有关机构进行评审，形成评审意见。作为节能审查的重要依据。节能审查应依据项目是否符合节能有关法律、标准规范、政策；项目用能分析是否客观准确，方法是否科学，结论是否正确；节能措施是否合理可行；项目的能源消费量和能效水平是否满足本地区能源消耗总量和强度“双控”管理要求等对项目节能报告进行审查。</w:t>
            </w:r>
          </w:p>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.【部门规章】《固定资产投资项目节能审查办法》（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44</w:t>
            </w:r>
            <w:r>
              <w:rPr>
                <w:rFonts w:hint="eastAsia" w:ascii="仿宋_GB2312" w:hAnsi="仿宋_GB2312" w:eastAsia="仿宋_GB2312" w:cs="仿宋_GB2312"/>
                <w:color w:val="auto"/>
                <w:kern w:val="0"/>
                <w:sz w:val="20"/>
                <w:szCs w:val="20"/>
                <w:lang w:val="en-US" w:eastAsia="zh-CN"/>
              </w:rPr>
              <w:t>号）第九条：节能审查机关应在法律规定的时限内出具节能审查意见。节能审查意见自印发之日起</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年内有效。</w:t>
            </w:r>
          </w:p>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.【部门规章】《固定资产投资项目节能审查办法》（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44</w:t>
            </w:r>
            <w:r>
              <w:rPr>
                <w:rFonts w:hint="eastAsia" w:ascii="仿宋_GB2312" w:hAnsi="仿宋_GB2312" w:eastAsia="仿宋_GB2312" w:cs="仿宋_GB2312"/>
                <w:color w:val="auto"/>
                <w:kern w:val="0"/>
                <w:sz w:val="20"/>
                <w:szCs w:val="20"/>
                <w:lang w:val="en-US" w:eastAsia="zh-CN"/>
              </w:rPr>
              <w:t>号）第十条：固定资产投资项目投入生产、使用前，应对其节能审查意见落实情况进行验收。</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.【部门规章】《固定资产投资项目节能审查办法》（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44</w:t>
            </w:r>
            <w:r>
              <w:rPr>
                <w:rFonts w:hint="eastAsia" w:ascii="仿宋_GB2312" w:hAnsi="仿宋_GB2312" w:eastAsia="仿宋_GB2312" w:cs="仿宋_GB2312"/>
                <w:color w:val="auto"/>
                <w:kern w:val="0"/>
                <w:sz w:val="20"/>
                <w:szCs w:val="20"/>
                <w:lang w:val="en-US" w:eastAsia="zh-CN"/>
              </w:rPr>
              <w:t>号）第十二条：节能审查机关应加强节能审查信息的统计分析，强化事中事后监管，对节能审查落实情况进行监督检查。省级节能审查机关应按季度向国家发展改革委报送本地区节能审查实施情况。</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因不履行或不正确履行行政职责，有下列情形的行政机关及相关工作人员应承担相应的责任：</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.对符合法定条件的材料不予受理、审查的；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.对不符合法定条件的项目予以受理、审查的；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.擅自增设、变更项目审查、备案程序或审查、备案条件的；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.未在法定时限内作出审查、备案决定的；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.擅自变更、撤销已核准的项目；</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.索取或者收受他人财物或者谋取其他利益的；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.其他违反法律法规规定的行为。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全、不符合法定形式，不一次告知申请人必须补正的全部内容的；（五）未依法说明不受理行政许可申请或者不予行政许可的理由的；（六）依法应当举行听证而不举行听证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.【规章】《固定资产投资项目节能审查办法》（国家发展和改革委员会令第</w:t>
            </w:r>
            <w:r>
              <w:rPr>
                <w:rFonts w:hint="default" w:ascii="Times New Roman" w:hAnsi="Times New Roman" w:eastAsia="仿宋_GB2312" w:cs="Times New Roman"/>
                <w:color w:val="auto"/>
                <w:kern w:val="0"/>
                <w:sz w:val="20"/>
                <w:szCs w:val="20"/>
              </w:rPr>
              <w:t>44</w:t>
            </w:r>
            <w:r>
              <w:rPr>
                <w:rFonts w:hint="eastAsia" w:ascii="仿宋_GB2312" w:hAnsi="仿宋_GB2312" w:eastAsia="仿宋_GB2312" w:cs="仿宋_GB2312"/>
                <w:color w:val="auto"/>
                <w:kern w:val="0"/>
                <w:sz w:val="20"/>
                <w:szCs w:val="20"/>
              </w:rPr>
              <w:t>号令）第十三条 对未按本办法规定进行节能审查，或节能审查未获通过，擅自开工建设或擅自投入生产、使用的固定资产投资项目，由节能审查机关责令停止建设或停止生产、使用，限期改造；不能改造或逾期不改造的生产性项目，由节能审查机关报请本级人民政府按照国务院规定的权限责令关闭；并依法追究有关责任人的责任。以拆分项目、提供虚假材料等不正当手段通过节能审查的固定资产投资项目，由节能审查机关撤销项目的节能审查意见。未落实节能审查意见要求的固定资产投资项目，节能审查机关责令建设单位限期整改。不能改正或逾期不改正的，节能审查机关按照法律法规的有关规定进行处罚。负责审批政府投资项目的工作人员，对未进行节能审查或节能审查未获通过的项目，违反本办法规定予以批准的，依法给予处分。</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.【规章】《行政机关公务员处分条例》第二十条　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法律】《中华人民共和国行政许可法》第七十三条“行政机关工作人员办理行政许可、实施监督检查，索取或者收受他人财物或者谋取其他利益，构成犯罪的，依法追究刑事责任；尚不构成犯罪的，依法给予行政处分。”</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中华人民共和国公务员法》一百零八条“公务员主管部门的工作人员，违反本法规定，滥用职权、玩忽职守、徇私舞弊，构成犯罪的，依法追究刑事责任；尚不构成犯罪的，给予处分或者由监察机关依法给予政务处分。”</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法律法规规章规定的免责情形以及《自治区党委办公厅关于印发〈深入推进激励干部新时代新担当新作为工作实施方案〉等</w:t>
            </w:r>
            <w:r>
              <w:rPr>
                <w:rFonts w:hint="default" w:ascii="Times New Roman" w:hAnsi="Times New Roman" w:eastAsia="仿宋_GB2312" w:cs="Times New Roman"/>
                <w:color w:val="auto"/>
                <w:kern w:val="0"/>
                <w:sz w:val="20"/>
                <w:szCs w:val="20"/>
                <w:lang w:eastAsia="zh-CN"/>
              </w:rPr>
              <w:t>6</w:t>
            </w:r>
            <w:r>
              <w:rPr>
                <w:rFonts w:hint="eastAsia" w:ascii="仿宋_GB2312" w:hAnsi="仿宋_GB2312" w:eastAsia="仿宋_GB2312" w:cs="仿宋_GB2312"/>
                <w:color w:val="auto"/>
                <w:kern w:val="0"/>
                <w:sz w:val="20"/>
                <w:szCs w:val="20"/>
                <w:lang w:eastAsia="zh-CN"/>
              </w:rPr>
              <w:t>个文件的通知》中明确的免责情形。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3" w:hRule="atLeast"/>
          <w:jc w:val="center"/>
        </w:trPr>
        <w:tc>
          <w:tcPr>
            <w:tcW w:w="486"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p>
        </w:tc>
        <w:tc>
          <w:tcPr>
            <w:tcW w:w="645" w:type="dxa"/>
            <w:tcBorders>
              <w:tl2br w:val="nil"/>
              <w:tr2bl w:val="nil"/>
            </w:tcBorders>
            <w:vAlign w:val="center"/>
          </w:tcPr>
          <w:p>
            <w:pPr>
              <w:widowControl/>
              <w:adjustRightInd w:val="0"/>
              <w:snapToGrid w:val="0"/>
              <w:spacing w:line="296" w:lineRule="exact"/>
              <w:jc w:val="both"/>
              <w:rPr>
                <w:rFonts w:hint="eastAsia" w:ascii="仿宋_GB2312" w:hAnsi="仿宋_GB2312" w:eastAsia="仿宋_GB2312" w:cs="仿宋_GB2312"/>
                <w:snapToGrid w:val="0"/>
                <w:color w:val="auto"/>
                <w:sz w:val="20"/>
                <w:szCs w:val="20"/>
                <w:lang w:eastAsia="zh-CN"/>
              </w:rPr>
            </w:pPr>
            <w:r>
              <w:rPr>
                <w:rFonts w:hint="eastAsia" w:ascii="仿宋_GB2312" w:hAnsi="仿宋_GB2312" w:eastAsia="仿宋_GB2312" w:cs="仿宋_GB2312"/>
                <w:snapToGrid w:val="0"/>
                <w:color w:val="auto"/>
                <w:sz w:val="20"/>
                <w:szCs w:val="20"/>
                <w:lang w:eastAsia="zh-CN"/>
              </w:rPr>
              <w:t>行政许可</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固定资产投资项目核准</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.【行政法规】《企业投资项目核准和备案管理条例》（</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673</w:t>
            </w:r>
            <w:r>
              <w:rPr>
                <w:rFonts w:hint="eastAsia" w:ascii="仿宋_GB2312" w:hAnsi="仿宋_GB2312" w:eastAsia="仿宋_GB2312" w:cs="仿宋_GB2312"/>
                <w:color w:val="auto"/>
                <w:kern w:val="0"/>
                <w:sz w:val="20"/>
                <w:szCs w:val="20"/>
                <w:lang w:val="en-US" w:eastAsia="zh-CN"/>
              </w:rPr>
              <w:t>号）第三条：对关系国家安全、涉及全国重大生产力布局、战略性资源开发和重大公共利益等项目，实行核准管理，具体项目范围以及核准机关、核准权限依照政府核准的投资项目目录执行。</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第三条：县级以上人民政府投资主管部门对投资项目履行综合管理职责。县级以上人民政府其他部门依照法律、法规规定，按照本级政府规定职责分工，对投资项目履行相应管理职责。第四条：根据项目不同情况，分别实行核准管理或备案管理。对关系国家安全、涉及全国重大生产力布局、战略性资源开发和重大公共利益等项目，实行核准管理。其他项目实行备案管理。</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.【规范性文件】《国务院关于投资体制改革的决定》（国发〔</w:t>
            </w:r>
            <w:r>
              <w:rPr>
                <w:rFonts w:hint="default" w:ascii="Times New Roman" w:hAnsi="Times New Roman" w:eastAsia="仿宋_GB2312" w:cs="Times New Roman"/>
                <w:color w:val="auto"/>
                <w:kern w:val="0"/>
                <w:sz w:val="20"/>
                <w:szCs w:val="20"/>
                <w:lang w:val="en-US" w:eastAsia="zh-CN"/>
              </w:rPr>
              <w:t>2004</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20</w:t>
            </w:r>
            <w:r>
              <w:rPr>
                <w:rFonts w:hint="eastAsia" w:ascii="仿宋_GB2312" w:hAnsi="仿宋_GB2312" w:eastAsia="仿宋_GB2312" w:cs="仿宋_GB2312"/>
                <w:color w:val="auto"/>
                <w:kern w:val="0"/>
                <w:sz w:val="20"/>
                <w:szCs w:val="20"/>
                <w:lang w:val="en-US" w:eastAsia="zh-CN"/>
              </w:rPr>
              <w:t>号）二、转变政府管理职能，确立企业的投资主体地位 （一） ……对于企业不使用政府投资建设的项目，一律不再实行审批制，区别不同情况实行核准制和备案制。其中，政府仅对重大项目和限制类项目从维护社会公共利益角度进行核准。（二）……对于外商投资项目，政府还要从市场准入、资本项目管理等方面进行核准。</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.【规范性文件】《广西壮族自治区人民政府关于印发广西壮族自治区企业投资项目核准和备案管理办法的通知》（桂政发〔</w:t>
            </w:r>
            <w:r>
              <w:rPr>
                <w:rFonts w:hint="default" w:ascii="Times New Roman" w:hAnsi="Times New Roman" w:eastAsia="仿宋_GB2312" w:cs="Times New Roman"/>
                <w:color w:val="auto"/>
                <w:kern w:val="0"/>
                <w:sz w:val="20"/>
                <w:szCs w:val="20"/>
                <w:lang w:val="en-US" w:eastAsia="zh-CN"/>
              </w:rPr>
              <w:t>2018</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35</w:t>
            </w:r>
            <w:r>
              <w:rPr>
                <w:rFonts w:hint="eastAsia" w:ascii="仿宋_GB2312" w:hAnsi="仿宋_GB2312" w:eastAsia="仿宋_GB2312" w:cs="仿宋_GB2312"/>
                <w:color w:val="auto"/>
                <w:kern w:val="0"/>
                <w:sz w:val="20"/>
                <w:szCs w:val="20"/>
                <w:lang w:val="en-US" w:eastAsia="zh-CN"/>
              </w:rPr>
              <w:t>号）第五条：依据自治区和设区市、县（市、区）人民政府确定的职责分工，具有项目核准权限的行政机关包括：发展改革、工业和信息化或者行政审批部门。实行核准管理的具体项目范围、核准权限，由自治区人民政府发布的《政府核准的投资项目目录（广西壮族自治区</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年本）》确定。法律、行政法规和国务院对项目核准的范围、权限有专门规定的，从其规定。”</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.受理责任：公布依法应当提交的材料；一次性告知补正材料；依法受理或不予受理（不予受理应告知理由）。</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审查责任：对材料从是否符合国家法律法规和宏观调控政策，是否符合发展规划、产业政策、技术政策和准入标准，是否合理开发并有效利用了资源，是否不影响我国国家安全、经济安全和生态安全，是否对公众利益特别是项目建设地的公众利益不产生重大不利影响五个方面进行审核，并提出审查意见。</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.决定责任：作出决定（不予行政许可的应当告知理由），按时办结并向社会公开。</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.送达责任：制发送达项目核准批复文件，信息公开。</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.监管责任：会同行业管理、城乡规划（建设）、国土资源、环境保护等部门，加强对企业投资项目的监管；对于未按规定取得规划选址、用地预审等的项目不予核准。</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号）第二十五条：申报材料不齐全或者不符合法定形式的，项目核准机关应当在收到申报材料之日起</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个工作日内一次告知项目单位补充相关文件。或对相关内容进行调整。逾期不告知的，自收到项目申报材料之日起即为受理。项目核准机关受理或者不予受理申报材料，都应当出具加盖本机关专用印章并注明日期的书面凭证。对于受理的申报材料，书面凭证应注明项目代码，项目单位可以根据项目代码在线查询、监督核准过程和结果。</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第三十五条：项目核准机关应当从以下方面对项目进行审查：（一）是否危害经济安全、社会安全、生态安全等国家安全；（二）是否符合相关发展建设规划、产业政策和技术标准；（三）是否合理开发并有效利用资源；（四）是否对重大公共利益产生不利影响；</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号）第三十一条：项目核准机关应当在正式受理申报材料后</w:t>
            </w:r>
            <w:r>
              <w:rPr>
                <w:rFonts w:hint="default" w:ascii="Times New Roman" w:hAnsi="Times New Roman" w:eastAsia="仿宋_GB2312" w:cs="Times New Roman"/>
                <w:color w:val="auto"/>
                <w:kern w:val="0"/>
                <w:sz w:val="20"/>
                <w:szCs w:val="20"/>
                <w:lang w:val="en-US" w:eastAsia="zh-CN"/>
              </w:rPr>
              <w:t>20</w:t>
            </w:r>
            <w:r>
              <w:rPr>
                <w:rFonts w:hint="eastAsia" w:ascii="仿宋_GB2312" w:hAnsi="仿宋_GB2312" w:eastAsia="仿宋_GB2312" w:cs="仿宋_GB2312"/>
                <w:color w:val="auto"/>
                <w:kern w:val="0"/>
                <w:sz w:val="20"/>
                <w:szCs w:val="20"/>
                <w:lang w:val="en-US" w:eastAsia="zh-CN"/>
              </w:rPr>
              <w:t xml:space="preserve"> 个工作日内作出是否予以核准的决定，或向上级项目核准机关提出审核意见。项目情况复杂或者需要征求有关单位意见的，经本行政机关主要负责人批准，可延长核准时限，但延长的时限不得超过</w:t>
            </w:r>
            <w:r>
              <w:rPr>
                <w:rFonts w:hint="default" w:ascii="Times New Roman" w:hAnsi="Times New Roman" w:eastAsia="仿宋_GB2312" w:cs="Times New Roman"/>
                <w:color w:val="auto"/>
                <w:kern w:val="0"/>
                <w:sz w:val="20"/>
                <w:szCs w:val="20"/>
                <w:lang w:val="en-US" w:eastAsia="zh-CN"/>
              </w:rPr>
              <w:t>40</w:t>
            </w:r>
            <w:r>
              <w:rPr>
                <w:rFonts w:hint="eastAsia" w:ascii="仿宋_GB2312" w:hAnsi="仿宋_GB2312" w:eastAsia="仿宋_GB2312" w:cs="仿宋_GB2312"/>
                <w:color w:val="auto"/>
                <w:kern w:val="0"/>
                <w:sz w:val="20"/>
                <w:szCs w:val="20"/>
                <w:lang w:val="en-US" w:eastAsia="zh-CN"/>
              </w:rPr>
              <w:t>个工作日，并应当将延长期限的理由告知项目单位。第三十二条项目符合核准条件的，项目核准机关应当对项目予以核准并向项目单位出具项目核准文件。项目不符合核准条件的，项目核准机关应当出具不予核准的书面通知，并说明不予核准的理由。属于国务院核准权限的项目，由国务院投资主管部门根据国务院的决定向项目单位出具项目核准文件或者不予核准的书面通知。项目核准机关出具项目核准文件或者不予核准的书面通知应当抄送同级行业管理、城乡规划、国土资源、水行政管理、环境保护、节能审查等相关部门和下级机关。</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第四十六条：项目核准和备案机关、行业管理、城乡规划（建设）、国家安全、国土（海洋）资源、环境保护、节能审查、金融监管、安全生产监管、审计等部门，应当按照谁审批谁监管、谁主管谁监管的原则，采取在线监测、现场核查等方式，依法加强对项目的事中事后监管。第四十八条：对不符合法定条件的项目予以核准，或者超越法定职权予以核准的，应依法予以撤销。</w:t>
            </w:r>
          </w:p>
        </w:tc>
        <w:tc>
          <w:tcPr>
            <w:tcW w:w="2306" w:type="dxa"/>
            <w:tcBorders>
              <w:tl2br w:val="nil"/>
              <w:tr2bl w:val="nil"/>
            </w:tcBorders>
            <w:vAlign w:val="center"/>
          </w:tcPr>
          <w:p>
            <w:pPr>
              <w:wordWrap/>
              <w:adjustRightInd w:val="0"/>
              <w:snapToGrid w:val="0"/>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i w:val="0"/>
                <w:iCs w:val="0"/>
                <w:caps w:val="0"/>
                <w:color w:val="auto"/>
                <w:spacing w:val="0"/>
                <w:sz w:val="20"/>
                <w:szCs w:val="20"/>
              </w:rPr>
              <w:t>因不履行或不正确履行行政职责，有下列情形的，行政机关及相关工作人员应承担相应责任：</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1</w:t>
            </w:r>
            <w:r>
              <w:rPr>
                <w:rFonts w:hint="eastAsia" w:ascii="仿宋_GB2312" w:hAnsi="仿宋_GB2312" w:eastAsia="仿宋_GB2312" w:cs="仿宋_GB2312"/>
                <w:i w:val="0"/>
                <w:iCs w:val="0"/>
                <w:caps w:val="0"/>
                <w:color w:val="auto"/>
                <w:spacing w:val="0"/>
                <w:sz w:val="20"/>
                <w:szCs w:val="20"/>
              </w:rPr>
              <w:t>.对符合条件的申请不予办理或不在法定期限内办理（驻委纪检监察组、机关纪委）；</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2</w:t>
            </w:r>
            <w:r>
              <w:rPr>
                <w:rFonts w:hint="eastAsia" w:ascii="仿宋_GB2312" w:hAnsi="仿宋_GB2312" w:eastAsia="仿宋_GB2312" w:cs="仿宋_GB2312"/>
                <w:i w:val="0"/>
                <w:iCs w:val="0"/>
                <w:caps w:val="0"/>
                <w:color w:val="auto"/>
                <w:spacing w:val="0"/>
                <w:sz w:val="20"/>
                <w:szCs w:val="20"/>
              </w:rPr>
              <w:t>.对不符合许可条件的予以许可的（驻委纪检监察组、机关纪委）；</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3</w:t>
            </w:r>
            <w:r>
              <w:rPr>
                <w:rFonts w:hint="eastAsia" w:ascii="仿宋_GB2312" w:hAnsi="仿宋_GB2312" w:eastAsia="仿宋_GB2312" w:cs="仿宋_GB2312"/>
                <w:i w:val="0"/>
                <w:iCs w:val="0"/>
                <w:caps w:val="0"/>
                <w:color w:val="auto"/>
                <w:spacing w:val="0"/>
                <w:sz w:val="20"/>
                <w:szCs w:val="20"/>
              </w:rPr>
              <w:t>.未严格审查申报材料或弄虚作假审批、有失职行为，造成项目损失的（驻委纪检监察组、机关纪委）；</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4</w:t>
            </w:r>
            <w:r>
              <w:rPr>
                <w:rFonts w:hint="eastAsia" w:ascii="仿宋_GB2312" w:hAnsi="仿宋_GB2312" w:eastAsia="仿宋_GB2312" w:cs="仿宋_GB2312"/>
                <w:i w:val="0"/>
                <w:iCs w:val="0"/>
                <w:caps w:val="0"/>
                <w:color w:val="auto"/>
                <w:spacing w:val="0"/>
                <w:sz w:val="20"/>
                <w:szCs w:val="20"/>
              </w:rPr>
              <w:t>.不按照法定条件或者违反法定程序审核、审批，以及乱收费用，情节严重的（驻委纪检监察组、机关纪委）；</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5</w:t>
            </w:r>
            <w:r>
              <w:rPr>
                <w:rFonts w:hint="eastAsia" w:ascii="仿宋_GB2312" w:hAnsi="仿宋_GB2312" w:eastAsia="仿宋_GB2312" w:cs="仿宋_GB2312"/>
                <w:i w:val="0"/>
                <w:iCs w:val="0"/>
                <w:caps w:val="0"/>
                <w:color w:val="auto"/>
                <w:spacing w:val="0"/>
                <w:sz w:val="20"/>
                <w:szCs w:val="20"/>
              </w:rPr>
              <w:t>.在审批过程中徇私舞弊、滥用职权、玩忽职守的（驻委纪检监察组、机关纪委）；</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6</w:t>
            </w:r>
            <w:r>
              <w:rPr>
                <w:rFonts w:hint="eastAsia" w:ascii="仿宋_GB2312" w:hAnsi="仿宋_GB2312" w:eastAsia="仿宋_GB2312" w:cs="仿宋_GB2312"/>
                <w:i w:val="0"/>
                <w:iCs w:val="0"/>
                <w:caps w:val="0"/>
                <w:color w:val="auto"/>
                <w:spacing w:val="0"/>
                <w:sz w:val="20"/>
                <w:szCs w:val="20"/>
              </w:rPr>
              <w:t>.利用职务上的便利，索取他人财物，为他人谋取利益的（驻委纪检监察组、机关纪委）；</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7</w:t>
            </w:r>
            <w:r>
              <w:rPr>
                <w:rFonts w:hint="eastAsia" w:ascii="仿宋_GB2312" w:hAnsi="仿宋_GB2312" w:eastAsia="仿宋_GB2312" w:cs="仿宋_GB2312"/>
                <w:i w:val="0"/>
                <w:iCs w:val="0"/>
                <w:caps w:val="0"/>
                <w:color w:val="auto"/>
                <w:spacing w:val="0"/>
                <w:sz w:val="20"/>
                <w:szCs w:val="20"/>
              </w:rPr>
              <w:t>.除以上追责情形外，其他违反法律法规规章的行为依法追究相应责任（驻委纪检监察组、机关纪委）。</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i w:val="0"/>
                <w:iCs w:val="0"/>
                <w:caps w:val="0"/>
                <w:color w:val="auto"/>
                <w:spacing w:val="0"/>
                <w:sz w:val="20"/>
                <w:szCs w:val="20"/>
              </w:rPr>
              <w:t>1</w:t>
            </w:r>
            <w:r>
              <w:rPr>
                <w:rFonts w:hint="eastAsia" w:ascii="仿宋_GB2312" w:hAnsi="仿宋_GB2312" w:eastAsia="仿宋_GB2312" w:cs="仿宋_GB2312"/>
                <w:i w:val="0"/>
                <w:iCs w:val="0"/>
                <w:caps w:val="0"/>
                <w:color w:val="auto"/>
                <w:spacing w:val="0"/>
                <w:sz w:val="20"/>
                <w:szCs w:val="20"/>
              </w:rPr>
              <w:t>－</w:t>
            </w:r>
            <w:r>
              <w:rPr>
                <w:rFonts w:hint="default" w:ascii="Times New Roman" w:hAnsi="Times New Roman" w:eastAsia="仿宋_GB2312" w:cs="Times New Roman"/>
                <w:i w:val="0"/>
                <w:iCs w:val="0"/>
                <w:caps w:val="0"/>
                <w:color w:val="auto"/>
                <w:spacing w:val="0"/>
                <w:sz w:val="20"/>
                <w:szCs w:val="20"/>
              </w:rPr>
              <w:t>1</w:t>
            </w:r>
            <w:r>
              <w:rPr>
                <w:rFonts w:hint="eastAsia" w:ascii="仿宋_GB2312" w:hAnsi="仿宋_GB2312" w:eastAsia="仿宋_GB2312" w:cs="仿宋_GB2312"/>
                <w:i w:val="0"/>
                <w:iCs w:val="0"/>
                <w:caps w:val="0"/>
                <w:color w:val="auto"/>
                <w:spacing w:val="0"/>
                <w:sz w:val="20"/>
                <w:szCs w:val="20"/>
              </w:rPr>
              <w:t>.【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1</w:t>
            </w:r>
            <w:r>
              <w:rPr>
                <w:rFonts w:hint="eastAsia" w:ascii="仿宋_GB2312" w:hAnsi="仿宋_GB2312" w:eastAsia="仿宋_GB2312" w:cs="仿宋_GB2312"/>
                <w:i w:val="0"/>
                <w:iCs w:val="0"/>
                <w:caps w:val="0"/>
                <w:color w:val="auto"/>
                <w:spacing w:val="0"/>
                <w:sz w:val="20"/>
                <w:szCs w:val="20"/>
              </w:rPr>
              <w:t>－</w:t>
            </w:r>
            <w:r>
              <w:rPr>
                <w:rFonts w:hint="default" w:ascii="Times New Roman" w:hAnsi="Times New Roman" w:eastAsia="仿宋_GB2312" w:cs="Times New Roman"/>
                <w:i w:val="0"/>
                <w:iCs w:val="0"/>
                <w:caps w:val="0"/>
                <w:color w:val="auto"/>
                <w:spacing w:val="0"/>
                <w:sz w:val="20"/>
                <w:szCs w:val="20"/>
              </w:rPr>
              <w:t>2</w:t>
            </w:r>
            <w:r>
              <w:rPr>
                <w:rFonts w:hint="eastAsia" w:ascii="仿宋_GB2312" w:hAnsi="仿宋_GB2312" w:eastAsia="仿宋_GB2312" w:cs="仿宋_GB2312"/>
                <w:i w:val="0"/>
                <w:iCs w:val="0"/>
                <w:caps w:val="0"/>
                <w:color w:val="auto"/>
                <w:spacing w:val="0"/>
                <w:sz w:val="20"/>
                <w:szCs w:val="20"/>
              </w:rPr>
              <w:t>.【法律】《中华人民共和国行政许可法》第七十四条第（二）项：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2</w:t>
            </w:r>
            <w:r>
              <w:rPr>
                <w:rFonts w:hint="eastAsia" w:ascii="仿宋_GB2312" w:hAnsi="仿宋_GB2312" w:eastAsia="仿宋_GB2312" w:cs="仿宋_GB2312"/>
                <w:i w:val="0"/>
                <w:iCs w:val="0"/>
                <w:caps w:val="0"/>
                <w:color w:val="auto"/>
                <w:spacing w:val="0"/>
                <w:sz w:val="20"/>
                <w:szCs w:val="20"/>
              </w:rPr>
              <w:t>.【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3</w:t>
            </w:r>
            <w:r>
              <w:rPr>
                <w:rFonts w:hint="eastAsia" w:ascii="仿宋_GB2312" w:hAnsi="仿宋_GB2312" w:eastAsia="仿宋_GB2312" w:cs="仿宋_GB2312"/>
                <w:i w:val="0"/>
                <w:iCs w:val="0"/>
                <w:caps w:val="0"/>
                <w:color w:val="auto"/>
                <w:spacing w:val="0"/>
                <w:sz w:val="20"/>
                <w:szCs w:val="20"/>
              </w:rPr>
              <w:t>.【地方政府规章】《广西壮族自治区行政过错责任追究办法》（</w:t>
            </w:r>
            <w:r>
              <w:rPr>
                <w:rFonts w:hint="default" w:ascii="Times New Roman" w:hAnsi="Times New Roman" w:eastAsia="仿宋_GB2312" w:cs="Times New Roman"/>
                <w:i w:val="0"/>
                <w:iCs w:val="0"/>
                <w:caps w:val="0"/>
                <w:color w:val="auto"/>
                <w:spacing w:val="0"/>
                <w:sz w:val="20"/>
                <w:szCs w:val="20"/>
              </w:rPr>
              <w:t>2007</w:t>
            </w:r>
            <w:r>
              <w:rPr>
                <w:rFonts w:hint="eastAsia" w:ascii="仿宋_GB2312" w:hAnsi="仿宋_GB2312" w:eastAsia="仿宋_GB2312" w:cs="仿宋_GB2312"/>
                <w:i w:val="0"/>
                <w:iCs w:val="0"/>
                <w:caps w:val="0"/>
                <w:color w:val="auto"/>
                <w:spacing w:val="0"/>
                <w:sz w:val="20"/>
                <w:szCs w:val="20"/>
              </w:rPr>
              <w:t>年广西壮族自治区人民政府令第</w:t>
            </w:r>
            <w:r>
              <w:rPr>
                <w:rFonts w:hint="default" w:ascii="Times New Roman" w:hAnsi="Times New Roman" w:eastAsia="仿宋_GB2312" w:cs="Times New Roman"/>
                <w:i w:val="0"/>
                <w:iCs w:val="0"/>
                <w:caps w:val="0"/>
                <w:color w:val="auto"/>
                <w:spacing w:val="0"/>
                <w:sz w:val="20"/>
                <w:szCs w:val="20"/>
              </w:rPr>
              <w:t>24</w:t>
            </w:r>
            <w:r>
              <w:rPr>
                <w:rFonts w:hint="eastAsia" w:ascii="仿宋_GB2312" w:hAnsi="仿宋_GB2312" w:eastAsia="仿宋_GB2312" w:cs="仿宋_GB2312"/>
                <w:i w:val="0"/>
                <w:iCs w:val="0"/>
                <w:caps w:val="0"/>
                <w:color w:val="auto"/>
                <w:spacing w:val="0"/>
                <w:sz w:val="20"/>
                <w:szCs w:val="20"/>
              </w:rPr>
              <w:t>号公布）第九条：行政机关及其工作人员在行政审批过程中，有下列情形之一的，应当责令纠正并追究行政过错责任：（四）不依照法定程序实施行政审批；</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4</w:t>
            </w:r>
            <w:r>
              <w:rPr>
                <w:rFonts w:hint="eastAsia" w:ascii="仿宋_GB2312" w:hAnsi="仿宋_GB2312" w:eastAsia="仿宋_GB2312" w:cs="仿宋_GB2312"/>
                <w:i w:val="0"/>
                <w:iCs w:val="0"/>
                <w:caps w:val="0"/>
                <w:color w:val="auto"/>
                <w:spacing w:val="0"/>
                <w:sz w:val="20"/>
                <w:szCs w:val="20"/>
              </w:rPr>
              <w:t>．【法律】《中华人民共和国行政许可法》第七十五条：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5</w:t>
            </w:r>
            <w:r>
              <w:rPr>
                <w:rFonts w:hint="eastAsia" w:ascii="仿宋_GB2312" w:hAnsi="仿宋_GB2312" w:eastAsia="仿宋_GB2312" w:cs="仿宋_GB2312"/>
                <w:i w:val="0"/>
                <w:iCs w:val="0"/>
                <w:caps w:val="0"/>
                <w:color w:val="auto"/>
                <w:spacing w:val="0"/>
                <w:sz w:val="20"/>
                <w:szCs w:val="20"/>
              </w:rPr>
              <w:t>-</w:t>
            </w:r>
            <w:r>
              <w:rPr>
                <w:rFonts w:hint="default" w:ascii="Times New Roman" w:hAnsi="Times New Roman" w:eastAsia="仿宋_GB2312" w:cs="Times New Roman"/>
                <w:i w:val="0"/>
                <w:iCs w:val="0"/>
                <w:caps w:val="0"/>
                <w:color w:val="auto"/>
                <w:spacing w:val="0"/>
                <w:sz w:val="20"/>
                <w:szCs w:val="20"/>
              </w:rPr>
              <w:t>1</w:t>
            </w:r>
            <w:r>
              <w:rPr>
                <w:rFonts w:hint="eastAsia" w:ascii="仿宋_GB2312" w:hAnsi="仿宋_GB2312" w:eastAsia="仿宋_GB2312" w:cs="仿宋_GB2312"/>
                <w:i w:val="0"/>
                <w:iCs w:val="0"/>
                <w:caps w:val="0"/>
                <w:color w:val="auto"/>
                <w:spacing w:val="0"/>
                <w:sz w:val="20"/>
                <w:szCs w:val="20"/>
              </w:rPr>
              <w:t>.【法律】《中华人民共和国行政许可法》第六十九条有下列情形之一的，作出行政许可决定的行政机关或者其上级行政机关，根据利害关系人的请求或者依据职权，可以撤销行政许可：（一）行政机关工作人员滥用职权、玩忽职守作出准予行政许可决定的。</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5</w:t>
            </w:r>
            <w:r>
              <w:rPr>
                <w:rFonts w:hint="eastAsia" w:ascii="仿宋_GB2312" w:hAnsi="仿宋_GB2312" w:eastAsia="仿宋_GB2312" w:cs="仿宋_GB2312"/>
                <w:i w:val="0"/>
                <w:iCs w:val="0"/>
                <w:caps w:val="0"/>
                <w:color w:val="auto"/>
                <w:spacing w:val="0"/>
                <w:sz w:val="20"/>
                <w:szCs w:val="20"/>
              </w:rPr>
              <w:t>-</w:t>
            </w:r>
            <w:r>
              <w:rPr>
                <w:rFonts w:hint="default" w:ascii="Times New Roman" w:hAnsi="Times New Roman" w:eastAsia="仿宋_GB2312" w:cs="Times New Roman"/>
                <w:i w:val="0"/>
                <w:iCs w:val="0"/>
                <w:caps w:val="0"/>
                <w:color w:val="auto"/>
                <w:spacing w:val="0"/>
                <w:sz w:val="20"/>
                <w:szCs w:val="20"/>
              </w:rPr>
              <w:t>2</w:t>
            </w:r>
            <w:r>
              <w:rPr>
                <w:rFonts w:hint="eastAsia" w:ascii="仿宋_GB2312" w:hAnsi="仿宋_GB2312" w:eastAsia="仿宋_GB2312" w:cs="仿宋_GB2312"/>
                <w:i w:val="0"/>
                <w:iCs w:val="0"/>
                <w:caps w:val="0"/>
                <w:color w:val="auto"/>
                <w:spacing w:val="0"/>
                <w:sz w:val="20"/>
                <w:szCs w:val="20"/>
              </w:rPr>
              <w:t>.【行政法规】《行政机关公务员处分条例》（</w:t>
            </w:r>
            <w:r>
              <w:rPr>
                <w:rFonts w:hint="default" w:ascii="Times New Roman" w:hAnsi="Times New Roman" w:eastAsia="仿宋_GB2312" w:cs="Times New Roman"/>
                <w:i w:val="0"/>
                <w:iCs w:val="0"/>
                <w:caps w:val="0"/>
                <w:color w:val="auto"/>
                <w:spacing w:val="0"/>
                <w:sz w:val="20"/>
                <w:szCs w:val="20"/>
              </w:rPr>
              <w:t>2007</w:t>
            </w:r>
            <w:r>
              <w:rPr>
                <w:rFonts w:hint="eastAsia" w:ascii="仿宋_GB2312" w:hAnsi="仿宋_GB2312" w:eastAsia="仿宋_GB2312" w:cs="仿宋_GB2312"/>
                <w:i w:val="0"/>
                <w:iCs w:val="0"/>
                <w:caps w:val="0"/>
                <w:color w:val="auto"/>
                <w:spacing w:val="0"/>
                <w:sz w:val="20"/>
                <w:szCs w:val="20"/>
              </w:rPr>
              <w:t>年中华人民共和国国务院令第</w:t>
            </w:r>
            <w:r>
              <w:rPr>
                <w:rFonts w:hint="default" w:ascii="Times New Roman" w:hAnsi="Times New Roman" w:eastAsia="仿宋_GB2312" w:cs="Times New Roman"/>
                <w:i w:val="0"/>
                <w:iCs w:val="0"/>
                <w:caps w:val="0"/>
                <w:color w:val="auto"/>
                <w:spacing w:val="0"/>
                <w:sz w:val="20"/>
                <w:szCs w:val="20"/>
              </w:rPr>
              <w:t>495</w:t>
            </w:r>
            <w:r>
              <w:rPr>
                <w:rFonts w:hint="eastAsia" w:ascii="仿宋_GB2312" w:hAnsi="仿宋_GB2312" w:eastAsia="仿宋_GB2312" w:cs="仿宋_GB2312"/>
                <w:i w:val="0"/>
                <w:iCs w:val="0"/>
                <w:caps w:val="0"/>
                <w:color w:val="auto"/>
                <w:spacing w:val="0"/>
                <w:sz w:val="20"/>
                <w:szCs w:val="20"/>
              </w:rPr>
              <w:t>号公布）第二十条：有下列行为之一的，给予记过、记大过处分；情节较重的，给予降级或者撤职处分；情节严重的，给予开除处分：（四）其他玩忽职守、贻误工作的行为。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6</w:t>
            </w:r>
            <w:r>
              <w:rPr>
                <w:rFonts w:hint="eastAsia" w:ascii="仿宋_GB2312" w:hAnsi="仿宋_GB2312" w:eastAsia="仿宋_GB2312" w:cs="仿宋_GB2312"/>
                <w:i w:val="0"/>
                <w:iCs w:val="0"/>
                <w:caps w:val="0"/>
                <w:color w:val="auto"/>
                <w:spacing w:val="0"/>
                <w:sz w:val="20"/>
                <w:szCs w:val="20"/>
              </w:rPr>
              <w:t>－</w:t>
            </w:r>
            <w:r>
              <w:rPr>
                <w:rFonts w:hint="default" w:ascii="Times New Roman" w:hAnsi="Times New Roman" w:eastAsia="仿宋_GB2312" w:cs="Times New Roman"/>
                <w:i w:val="0"/>
                <w:iCs w:val="0"/>
                <w:caps w:val="0"/>
                <w:color w:val="auto"/>
                <w:spacing w:val="0"/>
                <w:sz w:val="20"/>
                <w:szCs w:val="20"/>
              </w:rPr>
              <w:t>1</w:t>
            </w:r>
            <w:r>
              <w:rPr>
                <w:rFonts w:hint="eastAsia" w:ascii="仿宋_GB2312" w:hAnsi="仿宋_GB2312" w:eastAsia="仿宋_GB2312" w:cs="仿宋_GB2312"/>
                <w:i w:val="0"/>
                <w:iCs w:val="0"/>
                <w:caps w:val="0"/>
                <w:color w:val="auto"/>
                <w:spacing w:val="0"/>
                <w:sz w:val="20"/>
                <w:szCs w:val="20"/>
              </w:rPr>
              <w:t>.【法律】《中华人民共和国行政许可法》第七十三条：行政机关工作人员办理行政许可、实施监督检查，索取或者收受他人财物或者谋取其他利益，构成犯罪的，依法追究刑事责任；尚不构成犯罪的，依法给予行政处分。</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default" w:ascii="Times New Roman" w:hAnsi="Times New Roman" w:eastAsia="仿宋_GB2312" w:cs="Times New Roman"/>
                <w:i w:val="0"/>
                <w:iCs w:val="0"/>
                <w:caps w:val="0"/>
                <w:color w:val="auto"/>
                <w:spacing w:val="0"/>
                <w:sz w:val="20"/>
                <w:szCs w:val="20"/>
              </w:rPr>
              <w:t>6</w:t>
            </w:r>
            <w:r>
              <w:rPr>
                <w:rFonts w:hint="eastAsia" w:ascii="仿宋_GB2312" w:hAnsi="仿宋_GB2312" w:eastAsia="仿宋_GB2312" w:cs="仿宋_GB2312"/>
                <w:i w:val="0"/>
                <w:iCs w:val="0"/>
                <w:caps w:val="0"/>
                <w:color w:val="auto"/>
                <w:spacing w:val="0"/>
                <w:sz w:val="20"/>
                <w:szCs w:val="20"/>
              </w:rPr>
              <w:t>－</w:t>
            </w:r>
            <w:r>
              <w:rPr>
                <w:rFonts w:hint="default" w:ascii="Times New Roman" w:hAnsi="Times New Roman" w:eastAsia="仿宋_GB2312" w:cs="Times New Roman"/>
                <w:i w:val="0"/>
                <w:iCs w:val="0"/>
                <w:caps w:val="0"/>
                <w:color w:val="auto"/>
                <w:spacing w:val="0"/>
                <w:sz w:val="20"/>
                <w:szCs w:val="20"/>
              </w:rPr>
              <w:t>2</w:t>
            </w:r>
            <w:r>
              <w:rPr>
                <w:rFonts w:hint="eastAsia" w:ascii="仿宋_GB2312" w:hAnsi="仿宋_GB2312" w:eastAsia="仿宋_GB2312" w:cs="仿宋_GB2312"/>
                <w:i w:val="0"/>
                <w:iCs w:val="0"/>
                <w:caps w:val="0"/>
                <w:color w:val="auto"/>
                <w:spacing w:val="0"/>
                <w:sz w:val="20"/>
                <w:szCs w:val="20"/>
              </w:rPr>
              <w:t>.【部门规章】《事业单位工作人员处分暂行规定》（</w:t>
            </w:r>
            <w:r>
              <w:rPr>
                <w:rFonts w:hint="default" w:ascii="Times New Roman" w:hAnsi="Times New Roman" w:eastAsia="仿宋_GB2312" w:cs="Times New Roman"/>
                <w:i w:val="0"/>
                <w:iCs w:val="0"/>
                <w:caps w:val="0"/>
                <w:color w:val="auto"/>
                <w:spacing w:val="0"/>
                <w:sz w:val="20"/>
                <w:szCs w:val="20"/>
              </w:rPr>
              <w:t>2012</w:t>
            </w:r>
            <w:r>
              <w:rPr>
                <w:rFonts w:hint="eastAsia" w:ascii="仿宋_GB2312" w:hAnsi="仿宋_GB2312" w:eastAsia="仿宋_GB2312" w:cs="仿宋_GB2312"/>
                <w:i w:val="0"/>
                <w:iCs w:val="0"/>
                <w:caps w:val="0"/>
                <w:color w:val="auto"/>
                <w:spacing w:val="0"/>
                <w:sz w:val="20"/>
                <w:szCs w:val="20"/>
              </w:rPr>
              <w:t>年人力资源和社会保障部、监察部第</w:t>
            </w:r>
            <w:r>
              <w:rPr>
                <w:rFonts w:hint="default" w:ascii="Times New Roman" w:hAnsi="Times New Roman" w:eastAsia="仿宋_GB2312" w:cs="Times New Roman"/>
                <w:i w:val="0"/>
                <w:iCs w:val="0"/>
                <w:caps w:val="0"/>
                <w:color w:val="auto"/>
                <w:spacing w:val="0"/>
                <w:sz w:val="20"/>
                <w:szCs w:val="20"/>
              </w:rPr>
              <w:t>18</w:t>
            </w:r>
            <w:r>
              <w:rPr>
                <w:rFonts w:hint="eastAsia" w:ascii="仿宋_GB2312" w:hAnsi="仿宋_GB2312" w:eastAsia="仿宋_GB2312" w:cs="仿宋_GB2312"/>
                <w:i w:val="0"/>
                <w:iCs w:val="0"/>
                <w:caps w:val="0"/>
                <w:color w:val="auto"/>
                <w:spacing w:val="0"/>
                <w:sz w:val="20"/>
                <w:szCs w:val="20"/>
              </w:rPr>
              <w:t>号令公布）第十八条：有下列行为之一的，给予警告或者记过处分；情节较重的，给予降低岗位等级或者撤职处分；情节严重的，给予开除处分：</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eastAsia" w:ascii="仿宋_GB2312" w:hAnsi="仿宋_GB2312" w:eastAsia="仿宋_GB2312" w:cs="仿宋_GB2312"/>
                <w:i w:val="0"/>
                <w:iCs w:val="0"/>
                <w:caps w:val="0"/>
                <w:color w:val="auto"/>
                <w:spacing w:val="0"/>
                <w:sz w:val="20"/>
                <w:szCs w:val="20"/>
              </w:rPr>
              <w:t>（一）贪污、索贿、受贿、行贿、介绍贿赂、挪用公款的；</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eastAsia" w:ascii="仿宋_GB2312" w:hAnsi="仿宋_GB2312" w:eastAsia="仿宋_GB2312" w:cs="仿宋_GB2312"/>
                <w:i w:val="0"/>
                <w:iCs w:val="0"/>
                <w:caps w:val="0"/>
                <w:color w:val="auto"/>
                <w:spacing w:val="0"/>
                <w:sz w:val="20"/>
                <w:szCs w:val="20"/>
              </w:rPr>
              <w:t>（二）利用工作之便为本人或者他人谋取不正当利益的；</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eastAsia" w:ascii="仿宋_GB2312" w:hAnsi="仿宋_GB2312" w:eastAsia="仿宋_GB2312" w:cs="仿宋_GB2312"/>
                <w:i w:val="0"/>
                <w:iCs w:val="0"/>
                <w:caps w:val="0"/>
                <w:color w:val="auto"/>
                <w:spacing w:val="0"/>
                <w:sz w:val="20"/>
                <w:szCs w:val="20"/>
              </w:rPr>
              <w:t>（三）在公务活动或者工作中接受礼金、各种有价证券、支付凭证的；</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lang w:val="en-US" w:eastAsia="zh-CN"/>
              </w:rPr>
              <w:t xml:space="preserve">    </w:t>
            </w:r>
            <w:r>
              <w:rPr>
                <w:rFonts w:hint="eastAsia" w:ascii="仿宋_GB2312" w:hAnsi="仿宋_GB2312" w:eastAsia="仿宋_GB2312" w:cs="仿宋_GB2312"/>
                <w:i w:val="0"/>
                <w:iCs w:val="0"/>
                <w:caps w:val="0"/>
                <w:color w:val="auto"/>
                <w:spacing w:val="0"/>
                <w:sz w:val="20"/>
                <w:szCs w:val="20"/>
              </w:rPr>
              <w:t>（七）其他违反廉洁从业纪律的行为。</w:t>
            </w:r>
            <w:r>
              <w:rPr>
                <w:rFonts w:hint="eastAsia" w:ascii="仿宋_GB2312" w:hAnsi="仿宋_GB2312" w:eastAsia="仿宋_GB2312" w:cs="仿宋_GB2312"/>
                <w:i w:val="0"/>
                <w:iCs w:val="0"/>
                <w:caps w:val="0"/>
                <w:color w:val="auto"/>
                <w:spacing w:val="0"/>
                <w:sz w:val="20"/>
                <w:szCs w:val="20"/>
              </w:rPr>
              <w:br w:type="textWrapping"/>
            </w:r>
            <w:r>
              <w:rPr>
                <w:rFonts w:hint="eastAsia" w:ascii="仿宋_GB2312" w:hAnsi="仿宋_GB2312" w:eastAsia="仿宋_GB2312" w:cs="仿宋_GB2312"/>
                <w:i w:val="0"/>
                <w:iCs w:val="0"/>
                <w:caps w:val="0"/>
                <w:color w:val="auto"/>
                <w:spacing w:val="0"/>
                <w:sz w:val="20"/>
                <w:szCs w:val="20"/>
              </w:rPr>
              <w:t>有前款第（一）项规定行为的，给予记过以上处分。</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i w:val="0"/>
                <w:iCs w:val="0"/>
                <w:caps w:val="0"/>
                <w:color w:val="auto"/>
                <w:spacing w:val="0"/>
                <w:sz w:val="20"/>
                <w:szCs w:val="20"/>
              </w:rPr>
              <w:t>法律法规规定的免责情形及自治区党委、自治区人民政府有关文件中明确的免责情形。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r>
              <w:rPr>
                <w:rFonts w:hint="eastAsia" w:ascii="仿宋_GB2312" w:hAnsi="仿宋_GB2312" w:eastAsia="仿宋_GB2312" w:cs="仿宋_GB2312"/>
                <w:color w:val="auto"/>
                <w:kern w:val="0"/>
                <w:sz w:val="20"/>
                <w:szCs w:val="20"/>
              </w:rPr>
              <w:t>涉及能源项目核准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3"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p>
        </w:tc>
        <w:tc>
          <w:tcPr>
            <w:tcW w:w="645" w:type="dxa"/>
            <w:tcBorders>
              <w:tl2br w:val="nil"/>
              <w:tr2bl w:val="nil"/>
            </w:tcBorders>
            <w:vAlign w:val="center"/>
          </w:tcPr>
          <w:p>
            <w:pPr>
              <w:widowControl/>
              <w:adjustRightInd w:val="0"/>
              <w:snapToGrid w:val="0"/>
              <w:spacing w:line="296" w:lineRule="exact"/>
              <w:jc w:val="both"/>
              <w:rPr>
                <w:rFonts w:hint="eastAsia" w:ascii="仿宋_GB2312" w:hAnsi="仿宋_GB2312" w:eastAsia="仿宋_GB2312" w:cs="仿宋_GB2312"/>
                <w:snapToGrid w:val="0"/>
                <w:color w:val="auto"/>
                <w:sz w:val="20"/>
                <w:szCs w:val="20"/>
                <w:lang w:eastAsia="zh-CN"/>
              </w:rPr>
            </w:pPr>
            <w:r>
              <w:rPr>
                <w:rFonts w:hint="eastAsia" w:ascii="仿宋_GB2312" w:hAnsi="仿宋_GB2312" w:eastAsia="仿宋_GB2312" w:cs="仿宋_GB2312"/>
                <w:snapToGrid w:val="0"/>
                <w:color w:val="auto"/>
                <w:sz w:val="20"/>
                <w:szCs w:val="20"/>
                <w:lang w:eastAsia="zh-CN"/>
              </w:rPr>
              <w:t>行政许可</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新建不能满足管道保护要求的石油天然气管道防护方案审批</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b w:val="0"/>
                <w:bCs w:val="0"/>
                <w:i w:val="0"/>
                <w:iCs w:val="0"/>
                <w:caps w:val="0"/>
                <w:color w:val="auto"/>
                <w:spacing w:val="0"/>
                <w:sz w:val="20"/>
                <w:szCs w:val="20"/>
                <w:shd w:val="clear" w:color="0A0000" w:fill="FFFFFF"/>
              </w:rPr>
              <w:t>1</w:t>
            </w:r>
            <w:r>
              <w:rPr>
                <w:rFonts w:hint="eastAsia" w:ascii="仿宋_GB2312" w:hAnsi="仿宋_GB2312" w:eastAsia="仿宋_GB2312" w:cs="仿宋_GB2312"/>
                <w:b w:val="0"/>
                <w:bCs w:val="0"/>
                <w:i w:val="0"/>
                <w:iCs w:val="0"/>
                <w:caps w:val="0"/>
                <w:color w:val="auto"/>
                <w:spacing w:val="0"/>
                <w:sz w:val="20"/>
                <w:szCs w:val="20"/>
                <w:shd w:val="clear" w:color="0A0000" w:fill="FFFFFF"/>
              </w:rPr>
              <w:t>.【法律】《中华人民共和国石油天然气管道保护法》第二章 管道规划于建设 第十条 管道的规划、建设应当符合管道保护的要求，遵循安全、环保、节约用地和经济合理的原则。第十二条 管道企业应当根据全国管道发展规划编制管道建设规划，并将管道建设规划确定的管道建设选线方案</w:t>
            </w:r>
            <w:r>
              <w:rPr>
                <w:rFonts w:hint="eastAsia" w:ascii="仿宋_GB2312" w:hAnsi="仿宋_GB2312" w:eastAsia="仿宋_GB2312" w:cs="仿宋_GB2312"/>
                <w:i w:val="0"/>
                <w:iCs w:val="0"/>
                <w:caps w:val="0"/>
                <w:color w:val="auto"/>
                <w:spacing w:val="0"/>
                <w:sz w:val="20"/>
                <w:szCs w:val="20"/>
                <w:shd w:val="clear" w:color="080000" w:fill="FFFFFF"/>
              </w:rPr>
              <w:t>报送拟建管道所在地县级以上地方人民政府城乡规划主管部门审核；经审核符合城乡规划的，应当依法纳入当地城乡规划。纳入城乡规划的管道建设用地，不得擅自改变用途。第十三条 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rPr>
              <w:t>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tc>
        <w:tc>
          <w:tcPr>
            <w:tcW w:w="2348" w:type="dxa"/>
            <w:tcBorders>
              <w:tl2br w:val="nil"/>
              <w:tr2bl w:val="nil"/>
            </w:tcBorders>
            <w:vAlign w:val="center"/>
          </w:tcPr>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.受理责任：一次性告知补正材料；依法受理或不予受理申请（不予受理的说明理由）。</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.审查责任：对申请人提交的申请材料进行审查，提出审查意见。</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.决定责任：作出许可或不予许可的书面决定；不予许可应告知理由。</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.事后监管责任：对管道企业是否按照防护方案建设施工进行监督检查，依法查处违法违规行为。</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rPr>
              <w:t>（以上职责由工业能源环保股按照法律法规严格执行)</w:t>
            </w:r>
          </w:p>
        </w:tc>
        <w:tc>
          <w:tcPr>
            <w:tcW w:w="3806" w:type="dxa"/>
            <w:tcBorders>
              <w:tl2br w:val="nil"/>
              <w:tr2bl w:val="nil"/>
            </w:tcBorders>
            <w:vAlign w:val="center"/>
          </w:tcPr>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.【法律】《中华人民共和国行政许可法》第三十二条 行政机关对申请人提出的行政许可申请，应当根据下列情况分别作出处理：</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(一)申请事项依法不需要取得行政许可的，应当即时告知申请人不受理;</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(二)申请事项依法不属于本行政机关职权范围的，应当即时作出不予受理的决定，并告知申请人向有关行政机关申请;</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(三)申请材料存在可以当场更正的错误的，应当允许申请人当场更正;</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(四)申请材料不齐全或者不符合法定形式的，应当当场或者在五日内一次告知申请人需要补正的全部内容，逾期不告知的，自收到申请材料之日起即为受理;</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.【法律】《中华人民共和国行政许可法》第三十四条　行政机关应当对申请人提交的申请材料进行审查。</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作出不予行政许可的书面决定的，应当说明理由，并告知申请人享有依法申请行政复议或者提起行政诉讼的权利。第三十九条 行政机关作出准予行政许可的决定，需要颁发行政许可证件的，应当向申请人颁发加盖本行政机关印章的下列行政许可证件。</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.【法律】《中华人民共和国行政许可法》第六十一条　行政机关应当建立健全监督制度，通过核查反映被许可人从事行政许可事项活动情况的有关材料，履行监督责任。</w:t>
            </w:r>
          </w:p>
        </w:tc>
        <w:tc>
          <w:tcPr>
            <w:tcW w:w="2306" w:type="dxa"/>
            <w:tcBorders>
              <w:tl2br w:val="nil"/>
              <w:tr2bl w:val="nil"/>
            </w:tcBorders>
            <w:vAlign w:val="center"/>
          </w:tcPr>
          <w:p>
            <w:pPr>
              <w:wordWrap/>
              <w:adjustRightInd w:val="0"/>
              <w:snapToGrid w:val="0"/>
              <w:spacing w:before="0" w:after="0" w:line="240" w:lineRule="auto"/>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因不履行或不正确履行行政职责，有下列情形的，行政机关及相关工作人员应承担相应责任：</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.对符合法定条件的材料不予受理、审查的；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.对不符合法定条件的项目予以受理、审查的；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.擅自增设、变更项目审查、备案程序或审查、备案条件的；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.未在法定时限内作出审查、备案决定的；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.擅自变更、撤销已核准的项目；</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.索取或者收受他人财物或者谋取其他利益的；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.其他违反法律法规规定的行为。</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（局党组、驻局纪检监察组）</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.【规章】《行政机关公务员处分条例》第二十一条　有下列行为之一的，给予警告或者记过处分；情节较重的，给予记大过或者降级处分；情节严重的，给予撤职处分：（一）在行政许可工作中违反法定权限、条件和程序设定或者实施行政许可的；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rPr>
              <w:t>法律法规规定的免责情形及自治区党委、自治区人民政府有关文件中明确的免责情形。</w:t>
            </w:r>
          </w:p>
        </w:tc>
        <w:tc>
          <w:tcPr>
            <w:tcW w:w="675"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93"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p>
        </w:tc>
        <w:tc>
          <w:tcPr>
            <w:tcW w:w="645" w:type="dxa"/>
            <w:tcBorders>
              <w:tl2br w:val="nil"/>
              <w:tr2bl w:val="nil"/>
            </w:tcBorders>
            <w:vAlign w:val="center"/>
          </w:tcPr>
          <w:p>
            <w:pPr>
              <w:widowControl/>
              <w:adjustRightInd w:val="0"/>
              <w:snapToGrid w:val="0"/>
              <w:spacing w:line="296" w:lineRule="exact"/>
              <w:jc w:val="both"/>
              <w:rPr>
                <w:rFonts w:hint="eastAsia" w:ascii="仿宋_GB2312" w:hAnsi="仿宋_GB2312" w:eastAsia="仿宋_GB2312" w:cs="仿宋_GB2312"/>
                <w:snapToGrid w:val="0"/>
                <w:color w:val="auto"/>
                <w:sz w:val="20"/>
                <w:szCs w:val="20"/>
                <w:lang w:eastAsia="zh-CN"/>
              </w:rPr>
            </w:pPr>
            <w:r>
              <w:rPr>
                <w:rFonts w:hint="eastAsia" w:ascii="仿宋_GB2312" w:hAnsi="仿宋_GB2312" w:eastAsia="仿宋_GB2312" w:cs="仿宋_GB2312"/>
                <w:snapToGrid w:val="0"/>
                <w:color w:val="auto"/>
                <w:sz w:val="20"/>
                <w:szCs w:val="20"/>
                <w:lang w:eastAsia="zh-CN"/>
              </w:rPr>
              <w:t>行政许可</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可能影响石油天然气管道保护的施工作业审批</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i w:val="0"/>
                <w:iCs w:val="0"/>
                <w:caps w:val="0"/>
                <w:color w:val="auto"/>
                <w:spacing w:val="0"/>
                <w:sz w:val="20"/>
                <w:szCs w:val="20"/>
                <w:shd w:val="clear" w:color="080000" w:fill="FFFFFF"/>
              </w:rPr>
              <w:t>【法律】《中华人民共和国石油天然气管道保护法》（</w:t>
            </w:r>
            <w:r>
              <w:rPr>
                <w:rFonts w:hint="default" w:ascii="Times New Roman" w:hAnsi="Times New Roman" w:eastAsia="仿宋_GB2312" w:cs="Times New Roman"/>
                <w:i w:val="0"/>
                <w:iCs w:val="0"/>
                <w:caps w:val="0"/>
                <w:color w:val="auto"/>
                <w:spacing w:val="0"/>
                <w:sz w:val="20"/>
                <w:szCs w:val="20"/>
                <w:shd w:val="clear" w:color="080000" w:fill="FFFFFF"/>
              </w:rPr>
              <w:t>2010</w:t>
            </w:r>
            <w:r>
              <w:rPr>
                <w:rFonts w:hint="eastAsia" w:ascii="仿宋_GB2312" w:hAnsi="仿宋_GB2312" w:eastAsia="仿宋_GB2312" w:cs="仿宋_GB2312"/>
                <w:i w:val="0"/>
                <w:iCs w:val="0"/>
                <w:caps w:val="0"/>
                <w:color w:val="auto"/>
                <w:spacing w:val="0"/>
                <w:sz w:val="20"/>
                <w:szCs w:val="20"/>
                <w:shd w:val="clear" w:color="080000" w:fill="FFFFFF"/>
              </w:rPr>
              <w:t>年</w:t>
            </w:r>
            <w:r>
              <w:rPr>
                <w:rFonts w:hint="default" w:ascii="Times New Roman" w:hAnsi="Times New Roman" w:eastAsia="仿宋_GB2312" w:cs="Times New Roman"/>
                <w:i w:val="0"/>
                <w:iCs w:val="0"/>
                <w:caps w:val="0"/>
                <w:color w:val="auto"/>
                <w:spacing w:val="0"/>
                <w:sz w:val="20"/>
                <w:szCs w:val="20"/>
                <w:shd w:val="clear" w:color="080000" w:fill="FFFFFF"/>
              </w:rPr>
              <w:t>10</w:t>
            </w:r>
            <w:r>
              <w:rPr>
                <w:rFonts w:hint="eastAsia" w:ascii="仿宋_GB2312" w:hAnsi="仿宋_GB2312" w:eastAsia="仿宋_GB2312" w:cs="仿宋_GB2312"/>
                <w:i w:val="0"/>
                <w:iCs w:val="0"/>
                <w:caps w:val="0"/>
                <w:color w:val="auto"/>
                <w:spacing w:val="0"/>
                <w:sz w:val="20"/>
                <w:szCs w:val="20"/>
                <w:shd w:val="clear" w:color="080000" w:fill="FFFFFF"/>
              </w:rPr>
              <w:t>月</w:t>
            </w: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日起施行）第五条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第三十五条 进行下列施工作业，施工单位应当向管道所在地县级人民政府主管管道保护工作的部门提出申请：</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（一）穿跨越管道的施工作业；</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二）在管道线路中心线两侧各五米至五十米和本法第五十八条第一项所列管道附属设施周边一百米地域范围内，新建、改建、扩建铁路、公路、河渠，架设电力线路，埋设地下电缆、光缆，设置安全接地体、避雷接地体；</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（三）在管道线路中心线两侧各二百米和本法第五十八条第一项所列管道附属设施周边五百米地域范围内，进行爆破、地震法勘探或者工程挖掘、工程钻探、采矿。</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2348" w:type="dxa"/>
            <w:tcBorders>
              <w:tl2br w:val="nil"/>
              <w:tr2bl w:val="nil"/>
            </w:tcBorders>
            <w:vAlign w:val="center"/>
          </w:tcPr>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．受理责任：公示依法应当提交的材料；一次性告知补正材料；依法受理或不予受理（不予受理应当告知理由）。</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．审查责任：委托有关机构对项目建设单位提交的项目节能评估文件进行评审，根据评审机构形成的评审意见，依法对项目节能评估文件进行审查。</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．决定责任：作出决定（不予行政许可的应当告知理由）；按时办结。</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．送达责任：制发送达项目审查意见，信息公开。</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．其他法律法规规章文件规定应履行的责任。（以上职责由工业能源环保股按照法律法规严格执行)</w:t>
            </w:r>
          </w:p>
        </w:tc>
        <w:tc>
          <w:tcPr>
            <w:tcW w:w="3806" w:type="dxa"/>
            <w:tcBorders>
              <w:tl2br w:val="nil"/>
              <w:tr2bl w:val="nil"/>
            </w:tcBorders>
            <w:vAlign w:val="center"/>
          </w:tcPr>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.【法律】《中华人民共和国行政许可法》第三十四条　行政机关应当对申请人提交的申请材料进行审查。</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作出不予行政许可的书面决定的，应当说明理由，并告知申请人享有依法申请行政复议或者提起行政诉讼的权利。第三十九条 行政机关作出准予行政许可的决定，需要颁发行政许可证件的，应当向申请人颁发加盖本行政机关印章的下列行政许可证件。</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.【法律】《中华人民共和国行政许可法》第六十一条　行政机关应当建立健全监督制度，通过核查反映被许可人从事行政许可事项活动情况的有关材料，履行监督责任。</w:t>
            </w:r>
          </w:p>
        </w:tc>
        <w:tc>
          <w:tcPr>
            <w:tcW w:w="2306" w:type="dxa"/>
            <w:tcBorders>
              <w:tl2br w:val="nil"/>
              <w:tr2bl w:val="nil"/>
            </w:tcBorders>
            <w:vAlign w:val="center"/>
          </w:tcPr>
          <w:p>
            <w:pPr>
              <w:wordWrap/>
              <w:adjustRightInd w:val="0"/>
              <w:snapToGrid w:val="0"/>
              <w:spacing w:before="0" w:after="0" w:line="240" w:lineRule="auto"/>
              <w:ind w:left="0" w:leftChars="0" w:right="0" w:firstLine="400" w:firstLineChars="200"/>
              <w:outlineLvl w:val="9"/>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shd w:val="clear" w:color="080000" w:fill="FFFFFF"/>
              </w:rPr>
              <w:t>因不履行或不正确履行行政职责，有下列情形的，行政机关及相关工作人员应承担相应责任：</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.对符合法定条件的材料不予受理、审查的；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.对不符合法定条件的项目予以受理、审查的；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.擅自增设、变更项目审查、备案程序或审查、备案条件的；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.未在法定时限内作出审查、备案决定的；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.擅自变更、撤销已核准的项目；</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.索取或者收受他人财物或者谋取其他利益的；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7</w:t>
            </w:r>
            <w:r>
              <w:rPr>
                <w:rFonts w:hint="eastAsia" w:ascii="仿宋_GB2312" w:hAnsi="仿宋_GB2312" w:eastAsia="仿宋_GB2312" w:cs="仿宋_GB2312"/>
                <w:i w:val="0"/>
                <w:iCs w:val="0"/>
                <w:caps w:val="0"/>
                <w:color w:val="auto"/>
                <w:spacing w:val="0"/>
                <w:sz w:val="20"/>
                <w:szCs w:val="20"/>
                <w:shd w:val="clear" w:color="080000" w:fill="FFFFFF"/>
              </w:rPr>
              <w:t>.其他违反法律法规规定的行为。</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20"/>
                <w:szCs w:val="20"/>
                <w:shd w:val="clear" w:color="080000" w:fill="FFFFFF"/>
              </w:rPr>
              <w:t>（局党组、驻局纪检监察组）</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i w:val="0"/>
                <w:iCs w:val="0"/>
                <w:caps w:val="0"/>
                <w:color w:val="auto"/>
                <w:spacing w:val="0"/>
                <w:sz w:val="20"/>
                <w:szCs w:val="20"/>
              </w:rPr>
            </w:pPr>
            <w:r>
              <w:rPr>
                <w:rFonts w:hint="default" w:ascii="Times New Roman" w:hAnsi="Times New Roman" w:eastAsia="仿宋_GB2312" w:cs="Times New Roman"/>
                <w:i w:val="0"/>
                <w:iCs w:val="0"/>
                <w:caps w:val="0"/>
                <w:color w:val="auto"/>
                <w:spacing w:val="0"/>
                <w:sz w:val="20"/>
                <w:szCs w:val="20"/>
                <w:shd w:val="clear" w:color="080000" w:fill="FFFFFF"/>
              </w:rPr>
              <w:t>1</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.【规章】《行政机关公务员处分条例》第二十一条　有下列行为之一的，给予警告或者记过处分；情节较重的，给予记大过或者降级处分；情节严重的，给予撤职处分：（一）在行政许可工作中违反法定权限、条件和程序设定或者实施行政许可的；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3</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4</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5</w:t>
            </w:r>
            <w:r>
              <w:rPr>
                <w:rFonts w:hint="eastAsia" w:ascii="仿宋_GB2312" w:hAnsi="仿宋_GB2312" w:eastAsia="仿宋_GB2312" w:cs="仿宋_GB2312"/>
                <w:i w:val="0"/>
                <w:iCs w:val="0"/>
                <w:caps w:val="0"/>
                <w:color w:val="auto"/>
                <w:spacing w:val="0"/>
                <w:sz w:val="20"/>
                <w:szCs w:val="20"/>
                <w:shd w:val="clear" w:color="080000" w:fill="FFFFFF"/>
              </w:rPr>
              <w:t>.同</w:t>
            </w:r>
            <w:r>
              <w:rPr>
                <w:rFonts w:hint="default" w:ascii="Times New Roman" w:hAnsi="Times New Roman" w:eastAsia="仿宋_GB2312" w:cs="Times New Roman"/>
                <w:i w:val="0"/>
                <w:iCs w:val="0"/>
                <w:caps w:val="0"/>
                <w:color w:val="auto"/>
                <w:spacing w:val="0"/>
                <w:sz w:val="20"/>
                <w:szCs w:val="20"/>
                <w:shd w:val="clear" w:color="080000" w:fill="FFFFFF"/>
              </w:rPr>
              <w:t>2</w:t>
            </w:r>
            <w:r>
              <w:rPr>
                <w:rFonts w:hint="eastAsia" w:ascii="仿宋_GB2312" w:hAnsi="仿宋_GB2312" w:eastAsia="仿宋_GB2312" w:cs="仿宋_GB2312"/>
                <w:i w:val="0"/>
                <w:iCs w:val="0"/>
                <w:caps w:val="0"/>
                <w:color w:val="auto"/>
                <w:spacing w:val="0"/>
                <w:sz w:val="20"/>
                <w:szCs w:val="20"/>
                <w:shd w:val="clear" w:color="080000" w:fill="FFFFFF"/>
              </w:rPr>
              <w:t>.</w:t>
            </w:r>
            <w:r>
              <w:rPr>
                <w:rFonts w:hint="eastAsia" w:ascii="仿宋_GB2312" w:hAnsi="仿宋_GB2312" w:eastAsia="仿宋_GB2312" w:cs="仿宋_GB2312"/>
                <w:i w:val="0"/>
                <w:iCs w:val="0"/>
                <w:caps w:val="0"/>
                <w:color w:val="auto"/>
                <w:spacing w:val="0"/>
                <w:sz w:val="20"/>
                <w:szCs w:val="20"/>
                <w:shd w:val="clear" w:color="080000" w:fill="FFFFFF"/>
              </w:rPr>
              <w:br w:type="textWrapping"/>
            </w:r>
            <w:r>
              <w:rPr>
                <w:rFonts w:hint="eastAsia" w:ascii="仿宋_GB2312" w:hAnsi="仿宋_GB2312" w:eastAsia="仿宋_GB2312" w:cs="仿宋_GB2312"/>
                <w:i w:val="0"/>
                <w:iCs w:val="0"/>
                <w:caps w:val="0"/>
                <w:color w:val="auto"/>
                <w:spacing w:val="0"/>
                <w:sz w:val="20"/>
                <w:szCs w:val="20"/>
                <w:shd w:val="clear" w:color="080000" w:fill="FFFFFF"/>
                <w:lang w:val="en-US" w:eastAsia="zh-CN"/>
              </w:rPr>
              <w:t xml:space="preserve">    </w:t>
            </w:r>
            <w:r>
              <w:rPr>
                <w:rFonts w:hint="default" w:ascii="Times New Roman" w:hAnsi="Times New Roman" w:eastAsia="仿宋_GB2312" w:cs="Times New Roman"/>
                <w:i w:val="0"/>
                <w:iCs w:val="0"/>
                <w:caps w:val="0"/>
                <w:color w:val="auto"/>
                <w:spacing w:val="0"/>
                <w:sz w:val="20"/>
                <w:szCs w:val="20"/>
                <w:shd w:val="clear" w:color="080000" w:fill="FFFFFF"/>
              </w:rPr>
              <w:t>6</w:t>
            </w:r>
            <w:r>
              <w:rPr>
                <w:rFonts w:hint="eastAsia" w:ascii="仿宋_GB2312" w:hAnsi="仿宋_GB2312" w:eastAsia="仿宋_GB2312" w:cs="仿宋_GB2312"/>
                <w:i w:val="0"/>
                <w:iCs w:val="0"/>
                <w:caps w:val="0"/>
                <w:color w:val="auto"/>
                <w:spacing w:val="0"/>
                <w:sz w:val="20"/>
                <w:szCs w:val="20"/>
                <w:shd w:val="clear" w:color="080000" w:fill="FFFFFF"/>
              </w:rPr>
              <w:t>.【法律】《中华人民共和国行政许可法》第七十五条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i w:val="0"/>
                <w:iCs w:val="0"/>
                <w:caps w:val="0"/>
                <w:color w:val="auto"/>
                <w:spacing w:val="0"/>
                <w:sz w:val="20"/>
                <w:szCs w:val="20"/>
              </w:rPr>
            </w:pPr>
            <w:r>
              <w:rPr>
                <w:rFonts w:hint="eastAsia" w:ascii="仿宋_GB2312" w:hAnsi="仿宋_GB2312" w:eastAsia="仿宋_GB2312" w:cs="仿宋_GB2312"/>
                <w:i w:val="0"/>
                <w:iCs w:val="0"/>
                <w:caps w:val="0"/>
                <w:color w:val="auto"/>
                <w:spacing w:val="0"/>
                <w:sz w:val="20"/>
                <w:szCs w:val="20"/>
              </w:rPr>
              <w:t>法律法规规定的免责情形及自治区党委、自治区人民政府有关文件中明确的免责情形。</w:t>
            </w:r>
          </w:p>
        </w:tc>
        <w:tc>
          <w:tcPr>
            <w:tcW w:w="675" w:type="dxa"/>
            <w:tcBorders>
              <w:tl2br w:val="nil"/>
              <w:tr2bl w:val="nil"/>
            </w:tcBorders>
            <w:vAlign w:val="top"/>
          </w:tcPr>
          <w:p>
            <w:pPr>
              <w:adjustRightInd w:val="0"/>
              <w:snapToGrid w:val="0"/>
              <w:spacing w:line="260" w:lineRule="exac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7"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p>
        </w:tc>
        <w:tc>
          <w:tcPr>
            <w:tcW w:w="645" w:type="dxa"/>
            <w:tcBorders>
              <w:tl2br w:val="nil"/>
              <w:tr2bl w:val="nil"/>
            </w:tcBorders>
            <w:vAlign w:val="center"/>
          </w:tcPr>
          <w:p>
            <w:pPr>
              <w:widowControl/>
              <w:adjustRightInd w:val="0"/>
              <w:snapToGrid w:val="0"/>
              <w:spacing w:line="296" w:lineRule="exact"/>
              <w:jc w:val="center"/>
              <w:rPr>
                <w:rFonts w:hint="default" w:ascii="仿宋_GB2312" w:hAnsi="仿宋_GB2312" w:eastAsia="仿宋_GB2312" w:cs="仿宋_GB2312"/>
                <w:snapToGrid w:val="0"/>
                <w:color w:val="auto"/>
                <w:sz w:val="20"/>
                <w:szCs w:val="20"/>
                <w:lang w:val="en-US" w:eastAsia="zh-CN"/>
              </w:rPr>
            </w:pPr>
            <w:r>
              <w:rPr>
                <w:rFonts w:hint="eastAsia" w:ascii="仿宋_GB2312" w:hAnsi="仿宋_GB2312" w:eastAsia="仿宋_GB2312" w:cs="仿宋_GB2312"/>
                <w:snapToGrid w:val="0"/>
                <w:color w:val="auto"/>
                <w:sz w:val="20"/>
                <w:szCs w:val="20"/>
                <w:lang w:val="en-US" w:eastAsia="zh-CN"/>
              </w:rPr>
              <w:t>行政处罚</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企业、事业单位、社会团体等未按法律、法规进行项目核准的处罚</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.【行政法规】《企业投资项目核准和备案管理条例》（</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673</w:t>
            </w:r>
            <w:r>
              <w:rPr>
                <w:rFonts w:hint="eastAsia" w:ascii="仿宋_GB2312" w:hAnsi="仿宋_GB2312" w:eastAsia="仿宋_GB2312" w:cs="仿宋_GB2312"/>
                <w:color w:val="auto"/>
                <w:kern w:val="0"/>
                <w:sz w:val="20"/>
                <w:szCs w:val="20"/>
                <w:lang w:val="en-US" w:eastAsia="zh-CN"/>
              </w:rPr>
              <w:t>号）第十八条：实行核准管理的项目，企业未依照本条例规定办理核准手续开工建设或者未按照核准的建设地点、建设规模、建设内容等进行建设的，由核准机关责令停止建设或者责令停产，对企业处项目总投资额</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‰以上</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‰以下的罚款；对直接负责的主管人员和其他直接责任人员处</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万元以上</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万元以下的罚款，属于国家工作人员的，依法给予处分。以欺骗、贿赂等不正当手段取得项目核准文件，尚未开工建设的，由核准机关撤销核准文件，处项目总投资额</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‰以上</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‰以下的罚款；已经开工建设的，依照前款规定予以处罚；构成犯罪的，依法追究刑事责任。</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号）第五十五条：企业以分拆项目、隐瞒有关情况或者提供虚假申报材料等不正当手段申请核准、备案的，项目核准机关不予受理或者不予核准、备案，并给予警告。</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第五十六条：实行核准管理的项目，企业未依法办理核准手续开工建设或者未按照核准的建设地点、建设规模、建设内容等进行建设的，由核准机关责令停止建设或者责令停产，对企业处项目总投资额 </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 xml:space="preserve">‰以上 </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‰以下的罚款；对直接负责的主管人员和其他直接责任人员处</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万元以上</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 xml:space="preserve">万元以下的罚款，属于国家工作人员的，依法给予处分。项目应视情况予以拆除或者补办相关手续。以欺骗、贿赂等不正当手段取得项目核准文件，尚未开工建设的，由核准机关撤销核准文件，处项目总投资额 </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‰以上</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‰以下的罚款；已经开工建设的，依照前款规定予以处罚；构成犯罪的，依法追究刑事责任。</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第五十九条：项目单位在项目建设过程中不遵守国土（海洋）资源、城乡规划、环境保护、节能、安全监管、建设等方面法律法规和有关审批文件要求的，相关部门应依法予以处理。</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第六十条：承担项目申请报告编写、评估任务的工程咨询评估机构及其人员、参与专家评议的专家，在编制项目申请报告、受项目核准机关委托开展评估或者参与专家评议过程中，违反从业规定，造成重大损失和恶劣影响的，依法降低或撤销工程咨询单位资格，取消主要责任人员的相关职业资格。</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.立案责任：项目核准、备案机关对初步调查或检查发现的涉嫌违法行为应当立案。</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.调查取证责任：对立案的案件，项目核准、备案机关必须全面、客观、公正地调查或检查，收集有关证据。</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审理审查责任：对案件管辖权、当事人基本情况、违法事实及证据、定性、法律适用、法定程序、处罚种类和幅度、当事人陈述理由等方面进行审理审查，提出处理意见，对情节复杂或者重大违法行为给予较重的行政处罚，应当集体讨论决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.告知责任：告知当事人拟作出行政处罚的事实、理由和依据，并依法享有的陈述申辩或者要求听证的权利等。</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.决定责任：依法作出行政处罚的，应制作行政处罚决定书，载明违法事实和证据、处罚种类和依据、履行方式和期限、救济途径和期限等。</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.送达责任：行政处罚决定书应在</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日内送达当事人。</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.执行责任：当事人在法定期限内不申请行政复议或者提起行政诉讼，又不履行行政处罚决定的，可依法申请人民法院强制执行。</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.监管责任：项目核准、备案机关应当根据法律法规和发展规划、产业政策、总量控制目标、技术政策、准入标准及相关环保要求等，对项目进行监管。</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9</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　　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  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r>
              <w:rPr>
                <w:rFonts w:hint="eastAsia" w:ascii="仿宋_GB2312" w:hAnsi="仿宋_GB2312" w:eastAsia="仿宋_GB2312" w:cs="仿宋_GB2312"/>
                <w:color w:val="auto"/>
                <w:kern w:val="0"/>
                <w:sz w:val="20"/>
                <w:szCs w:val="20"/>
                <w:lang w:val="en-US" w:eastAsia="zh-CN"/>
              </w:rPr>
              <w:t>当通过国家统一法律职业资格考试取得法律职业资格。</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第四十四条　行政机关在作出行政处罚决定之前，应当告知当事人拟作出的行政处罚内容及事实、理由、依据，并告知当事人依法享有的陈述、申辩、要求听证等权利。</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第四十五条　当事人有权进行陈述和申辩。行政机关必须充分听取当事人的意见，对当事人提出的事实、理由和证据，应当进行复核；当事人提出的事实、理由或者证据成立的，行政机关应当采纳。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第五十九条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lang w:eastAsia="zh-CN"/>
              </w:rPr>
              <w:t>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第六十六条行政处罚决定依法作出后，当事人应当在行政处罚决定书载明的期限内，予以履行。当事人确有经济困难，需要延期或者分期缴纳罚款的，经当事人申请和行政机关批准，可以暂缓或者分期缴纳。</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.【行政法规】《企业投资项目核准和备案管理条例》（</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673</w:t>
            </w:r>
            <w:r>
              <w:rPr>
                <w:rFonts w:hint="eastAsia" w:ascii="仿宋_GB2312" w:hAnsi="仿宋_GB2312" w:eastAsia="仿宋_GB2312" w:cs="仿宋_GB2312"/>
                <w:color w:val="auto"/>
                <w:kern w:val="0"/>
                <w:sz w:val="20"/>
                <w:szCs w:val="20"/>
                <w:lang w:val="en-US" w:eastAsia="zh-CN"/>
              </w:rPr>
              <w:t>号）第十六条：核准机关、备案机关以及依法对项目负有监督管理职责的其他有关部门应当加强事中事后监管，按照谁审批谁监管、谁主管谁监管的原则，落实监管责任，采取在线监测、现场核查等方式，加强对项目实施的监督检查。</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因不履行或不正确履行行政职责，有下列情形之一的，行政机关以及相关工作人员应承担相应责任：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 对应当予以制止和处罚的违法行为不予制止、处罚，致使公民、法人或者其他组织的合法权益、公共利益和社会秩序遭受损害的；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.实施行政处罚，没有法定的行政处罚依据的；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.实施行政处罚，擅自改变行政处罚种类、幅度的；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.实施行政处罚，违反法定的行政处罚程序的；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.实施行政处罚，违反《行政处罚法》关于委托处罚的规定的；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.对当事人进行处罚不使用罚款、没收财物单据或者使用非法定部门制发的罚款、没收财物单据的；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.违反《行政处罚法》的规定自行收缴罚款的；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.将罚款、没收的违法所得或者财物截留、私分或者变相私分的；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9</w:t>
            </w:r>
            <w:r>
              <w:rPr>
                <w:rFonts w:hint="eastAsia" w:ascii="仿宋_GB2312" w:hAnsi="仿宋_GB2312" w:eastAsia="仿宋_GB2312" w:cs="仿宋_GB2312"/>
                <w:color w:val="auto"/>
                <w:kern w:val="0"/>
                <w:sz w:val="20"/>
                <w:szCs w:val="20"/>
                <w:lang w:val="en-US" w:eastAsia="zh-CN"/>
              </w:rPr>
              <w:t>.使用或者损毁扣押的财物，对当事人造成损失的；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.违法实行检查措施或者执行措施，给公民人身或者财产造成损害、给法人或者其他组织造成损失的；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11</w:t>
            </w:r>
            <w:r>
              <w:rPr>
                <w:rFonts w:hint="eastAsia" w:ascii="仿宋_GB2312" w:hAnsi="仿宋_GB2312" w:eastAsia="仿宋_GB2312" w:cs="仿宋_GB2312"/>
                <w:color w:val="auto"/>
                <w:kern w:val="0"/>
                <w:sz w:val="20"/>
                <w:szCs w:val="20"/>
                <w:lang w:val="en-US" w:eastAsia="zh-CN"/>
              </w:rPr>
              <w:t>.为牟取本单位私利，对应当依法移交司法机关追究刑事责任的不移交，以行政处罚代替刑罚的；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12</w:t>
            </w:r>
            <w:r>
              <w:rPr>
                <w:rFonts w:hint="eastAsia" w:ascii="仿宋_GB2312" w:hAnsi="仿宋_GB2312" w:eastAsia="仿宋_GB2312" w:cs="仿宋_GB2312"/>
                <w:color w:val="auto"/>
                <w:kern w:val="0"/>
                <w:sz w:val="20"/>
                <w:szCs w:val="20"/>
                <w:lang w:val="en-US" w:eastAsia="zh-CN"/>
              </w:rPr>
              <w:t>.其他违反法律法规等规定的行为。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 【法律】《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第八十三条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lang w:eastAsia="zh-CN"/>
              </w:rPr>
              <w:t>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 【法律】《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第七十九条　行政机关截留、私分或者变相私分罚款、没收的违法所得或者财物的，由财政部门或者有关机关予以追缴，对直接负责的主管人员和其他直接责任人员依法给予处分；情节严重构成犯罪的，依法追究刑事责任。　执法人员利用职务上的便利，索取或者收受他人财物、将收缴罚款据为己有，构成犯罪的，依法追究刑事责任；情节轻微不构成犯罪的，依法给予处分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第八十条　行政机关使用或者损毁查封、扣押的财物，对当事人造成损失的，应当依法予以赔偿，对直接负责的主管人员和其他直接责任人员依法给予处分。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 【法律】《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 【法律】《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77"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p>
        </w:tc>
        <w:tc>
          <w:tcPr>
            <w:tcW w:w="645" w:type="dxa"/>
            <w:tcBorders>
              <w:tl2br w:val="nil"/>
              <w:tr2bl w:val="nil"/>
            </w:tcBorders>
            <w:vAlign w:val="center"/>
          </w:tcPr>
          <w:p>
            <w:pPr>
              <w:widowControl/>
              <w:adjustRightInd w:val="0"/>
              <w:snapToGrid w:val="0"/>
              <w:spacing w:line="296" w:lineRule="exact"/>
              <w:jc w:val="both"/>
              <w:rPr>
                <w:rFonts w:hint="eastAsia" w:ascii="仿宋_GB2312" w:hAnsi="仿宋_GB2312" w:eastAsia="仿宋_GB2312" w:cs="仿宋_GB2312"/>
                <w:snapToGrid w:val="0"/>
                <w:color w:val="auto"/>
                <w:sz w:val="20"/>
                <w:szCs w:val="20"/>
                <w:lang w:eastAsia="zh-CN"/>
              </w:rPr>
            </w:pPr>
            <w:r>
              <w:rPr>
                <w:rFonts w:hint="eastAsia" w:ascii="仿宋_GB2312" w:hAnsi="仿宋_GB2312" w:eastAsia="仿宋_GB2312" w:cs="仿宋_GB2312"/>
                <w:snapToGrid w:val="0"/>
                <w:color w:val="auto"/>
                <w:sz w:val="20"/>
                <w:szCs w:val="20"/>
                <w:lang w:eastAsia="zh-CN"/>
              </w:rPr>
              <w:t>行政处罚</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企业、事业单位、社会团体等未按法律、法规进行项目备案的处罚</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三江侗族自治县发改局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.【行政法规】《企业投资项目核准和备案管理条例》（</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673</w:t>
            </w:r>
            <w:r>
              <w:rPr>
                <w:rFonts w:hint="eastAsia" w:ascii="仿宋_GB2312" w:hAnsi="仿宋_GB2312" w:eastAsia="仿宋_GB2312" w:cs="仿宋_GB2312"/>
                <w:color w:val="auto"/>
                <w:kern w:val="0"/>
                <w:sz w:val="20"/>
                <w:szCs w:val="20"/>
                <w:lang w:val="en-US" w:eastAsia="zh-CN"/>
              </w:rPr>
              <w:t>号）第十九条：实行备案管理的项目，企业未依照本条例规定将项目信息或者已备案项目的信息变更情况告知备案机关，由备案机关责令限期改正；逾期不改正的，处</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万元以上</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万元以下的罚款。</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 xml:space="preserve">号）第五十五条：企业以分拆项目、隐瞒有关情况或者提供虚假申报材料等不正当手段申请核准、备案的，项目核准机关不予受理或者不予核准、备案，并给予警告。第五十七条：实行备案管理的项目，企业未依法将项目信息或者已备案项目信息变更情况告知备案机关，或者向备案机关提供虚假信息的，由备案机关责令限期改正；逾期不改正的，处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 xml:space="preserve"> 万元以上 </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 xml:space="preserve"> 万元以下的罚款。第五十九条：项目单位在项目建设过程中不遵守国土（海洋）资源、城乡规划、环境保护、节能、安全监管、建设等方面法律法规和有关审批文件要求的，相关部门应依法予以处理。第六十条：承担项目申请报告编写、评估任务的工程咨询评估机构及其人员、参与专家评议的专家，在编制项目申请报告、受项目核准机关委托开展评估或者参与专家评议过程中，违反从业规定，造成重大损失和恶劣影响的，依法降低或撤销工程咨询单位资格，取消主要责任人员的相关职业资格。</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.立案责任：项目核准、备案机关对初步调查或检查发现的涉嫌违法行为应当立案。</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.调查取证责任：对立案的案件，项目核准、备案机关必须全面、客观、公正地调查或检查，收集有关证据。</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审理审查责任：对案件管辖权、当事人基本情况、违法事实及证据、定性、法律适用、法定程序、处罚种类和幅度、当事人陈述理由等方面进行审理审查，提出处理意见，对情节复杂或者重大违法行为给予较重的行政处罚，应当集体讨论决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.告知责任：告知当事人拟作出行政处罚的事实、理由和依据，并依法享有的陈述申辩或者要求听证的权利等。</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.决定责任：依法作出行政处罚的，应制作行政处罚决定书，载明违法事实和证据、处罚种类和依据、履行方式和期限、救济途径和期限等。</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.送达责任：行政处罚决定书应在</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日内送达当事人。</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.执行责任：当事人在法定期限内不申请行政复议或者提起行政诉讼，又不履行行政处罚决定的，可依法申请人民法院强制执行。</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.监管责任：项目核准、备案机关应当根据法律法规和发展规划、产业政策、总量控制目标、技术政策、准入标准及相关环保要求等，对项目进行监管。</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9</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修订)》第五十四条</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修订)》第四十四条　行政机关在作出行政处罚决定之前，应当告知当事人拟作出的行政处罚内容及事实、理由、依据，并告知当事人依法享有的陈述、申辩、要求听证等权利。</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第四十五条　当事人有权进行陈述和申辩。行政机关必须充分听取当事人的意见，对当事人提出的事实、理由和证据，应当进行复核；当事人提出的事实、理由或者证据成立的，行政机关应当采纳。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修订)》第五十九条  行政机关依照本法第五十七条的规定给予行政处罚，应当制作行政处　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修订)》第六十一条　行政处罚决定书应当在宣告后当场交付当事人；当事人不在场的，行政机关应当在七日内依照《中华人民共和国民事诉讼法》的有关规定，将行政处罚决定书送达当事人。</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六十六条行政处罚决定依法作出后，当事人应当在行政处罚决定书载明的期限内，予以履行。当事人确有经济困难，需要延期或者分期缴纳罚款的，经当事人申请和行政机关批准，可以暂缓或者分期缴纳。</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.【行政法规】《企业投资项目核准和备案管理条例》（</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年国务院令第</w:t>
            </w:r>
            <w:r>
              <w:rPr>
                <w:rFonts w:hint="default" w:ascii="Times New Roman" w:hAnsi="Times New Roman" w:eastAsia="仿宋_GB2312" w:cs="Times New Roman"/>
                <w:color w:val="auto"/>
                <w:kern w:val="0"/>
                <w:sz w:val="20"/>
                <w:szCs w:val="20"/>
              </w:rPr>
              <w:t>673</w:t>
            </w:r>
            <w:r>
              <w:rPr>
                <w:rFonts w:hint="eastAsia" w:ascii="仿宋_GB2312" w:hAnsi="仿宋_GB2312" w:eastAsia="仿宋_GB2312" w:cs="仿宋_GB2312"/>
                <w:color w:val="auto"/>
                <w:kern w:val="0"/>
                <w:sz w:val="20"/>
                <w:szCs w:val="20"/>
              </w:rPr>
              <w:t>号）第十六</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核准机关、备案机关以及依法对项目负有监督管理职责的其他有关部门应当加强事中事后监管，按照谁审批谁监管、谁主管谁监管的原则，落实监管责任，采取在线监测、现场核查等方式，加强对项目实施的监督检查。</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因不履行或不正确履行行政职责，有下列情形之一的，行政机关以及相关工作人员应承担相应责任：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 对应当予以制止和处罚的违法行为不予制止、处罚，致使公民、法人或者其他组织的合法权益、公共利益和社会秩序遭受损害的；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.实施行政处罚，没有法定的行政处罚依据的；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.实施行政处罚，擅自改变行政处罚种类、幅度的；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.实施行政处罚，违反法定的行政处罚程序的；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.实施行政处罚，违反《行政处罚法》关于委托处罚的规定的；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.对当事人进行处罚不使用罚款、没收财物单据或者使用非法定部门制发的罚款、没收财物单据的；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.违反《行政处罚法》的规定自行收缴罚款的；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.将罚款、没收的违法所得或者财物截留、私分或者变相私分的；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9</w:t>
            </w:r>
            <w:r>
              <w:rPr>
                <w:rFonts w:hint="eastAsia" w:ascii="仿宋_GB2312" w:hAnsi="仿宋_GB2312" w:eastAsia="仿宋_GB2312" w:cs="仿宋_GB2312"/>
                <w:color w:val="auto"/>
                <w:kern w:val="0"/>
                <w:sz w:val="20"/>
                <w:szCs w:val="20"/>
              </w:rPr>
              <w:t>.使用或者损毁扣押的财物，对当事人造成损失的；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.违法实行检查措施或者执行措施，给公民人身或者财产造成损害、给法人或者其他组织造成损失的；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.为牟取本单位私利，对应当依法移交司法机关追究刑事责任的不移交，以行政处罚代替刑罚的；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12</w:t>
            </w:r>
            <w:r>
              <w:rPr>
                <w:rFonts w:hint="eastAsia" w:ascii="仿宋_GB2312" w:hAnsi="仿宋_GB2312" w:eastAsia="仿宋_GB2312" w:cs="仿宋_GB2312"/>
                <w:color w:val="auto"/>
                <w:kern w:val="0"/>
                <w:sz w:val="20"/>
                <w:szCs w:val="20"/>
              </w:rPr>
              <w:t>.其他违反法律法规等规定的行为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 【法律】《中华人民共和国行政处罚法(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修订)》第八十三条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 【法律】《中华人民共和国行政处罚法(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修订)》第七十九条　行政机关截留、私分或者变相私分罚款、没收的违法所得或者财物的，由财政部门或者有关机关予以追缴，对直接负责的主管人员和其他直接责任人员依法给予处分；情节严重构成犯罪的，依法追究刑事责任。　执法人员利用职务上的便利，索取或者收受他人财物、将收缴罚款据为己有，构成犯罪的，依法追究刑事责任；情节轻微不构成犯罪的，依法给予处分《中华人民共和国行政处罚法(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修订)》第八十条　行政机关使用或者损毁查封、扣押的财物，对当事人造成损失的，应当依法予以赔偿，对直接负责的主管人员和其他直接责任人员依法给予处分。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 【法律】《中华人民共和国行政处罚法(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 【法律】《中华人民共和国行政处罚法(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77"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8</w:t>
            </w:r>
          </w:p>
        </w:tc>
        <w:tc>
          <w:tcPr>
            <w:tcW w:w="645" w:type="dxa"/>
            <w:tcBorders>
              <w:tl2br w:val="nil"/>
              <w:tr2bl w:val="nil"/>
            </w:tcBorders>
            <w:vAlign w:val="center"/>
          </w:tcPr>
          <w:p>
            <w:pPr>
              <w:widowControl/>
              <w:adjustRightInd w:val="0"/>
              <w:snapToGrid w:val="0"/>
              <w:spacing w:line="240" w:lineRule="auto"/>
              <w:jc w:val="center"/>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行政处罚</w:t>
            </w:r>
          </w:p>
        </w:tc>
        <w:tc>
          <w:tcPr>
            <w:tcW w:w="615" w:type="dxa"/>
            <w:tcBorders>
              <w:tl2br w:val="nil"/>
              <w:tr2bl w:val="nil"/>
            </w:tcBorders>
            <w:vAlign w:val="center"/>
          </w:tcPr>
          <w:p>
            <w:pPr>
              <w:widowControl/>
              <w:adjustRightInd w:val="0"/>
              <w:snapToGrid w:val="0"/>
              <w:spacing w:line="240" w:lineRule="auto"/>
              <w:jc w:val="both"/>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对投资建设产业政策禁止投资建设项目的企业处罚</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三江侗族自治县发改局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.【行政法规】《企业投资项目核准和备案管理条例》（</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年国务院令第</w:t>
            </w:r>
            <w:r>
              <w:rPr>
                <w:rFonts w:hint="default" w:ascii="Times New Roman" w:hAnsi="Times New Roman" w:eastAsia="仿宋_GB2312" w:cs="Times New Roman"/>
                <w:color w:val="auto"/>
                <w:kern w:val="0"/>
                <w:sz w:val="20"/>
                <w:szCs w:val="20"/>
                <w:lang w:val="en-US" w:eastAsia="zh-CN"/>
              </w:rPr>
              <w:t>673</w:t>
            </w:r>
            <w:r>
              <w:rPr>
                <w:rFonts w:hint="eastAsia" w:ascii="仿宋_GB2312" w:hAnsi="仿宋_GB2312" w:eastAsia="仿宋_GB2312" w:cs="仿宋_GB2312"/>
                <w:color w:val="auto"/>
                <w:kern w:val="0"/>
                <w:sz w:val="20"/>
                <w:szCs w:val="20"/>
                <w:lang w:val="en-US" w:eastAsia="zh-CN"/>
              </w:rPr>
              <w:t>号）第二十条：企业投资建设产业政策禁止投资建设项目的，由县级以上人民政府投资主管部门责令停止建设或者责令停产并恢复原状，对企业处项目总投资额</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‰以上</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‰以下的罚款；对直接负责的主管人员和其他直接责任人员处</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万元以上</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万元以下的罚款，属于国家工作人员的，依法给予处分。法律、行政法规另有规定的，依照其规定。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号）第五十八条：企业投资建设产业政策禁止投资建设项目的，由县级以上人民政府投资主管部门责令停止建设或者责令停产并恢复原状，对企业处项目总投资额</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‰以上</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‰以下的罚款；对直接负责的主管人员和其他直接责任人员处</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万元以上</w:t>
            </w:r>
            <w:r>
              <w:rPr>
                <w:rFonts w:hint="default" w:ascii="Times New Roman" w:hAnsi="Times New Roman" w:eastAsia="仿宋_GB2312" w:cs="Times New Roman"/>
                <w:color w:val="auto"/>
                <w:kern w:val="0"/>
                <w:sz w:val="20"/>
                <w:szCs w:val="20"/>
                <w:lang w:val="en-US" w:eastAsia="zh-CN"/>
              </w:rPr>
              <w:t>10</w:t>
            </w:r>
            <w:r>
              <w:rPr>
                <w:rFonts w:hint="eastAsia" w:ascii="仿宋_GB2312" w:hAnsi="仿宋_GB2312" w:eastAsia="仿宋_GB2312" w:cs="仿宋_GB2312"/>
                <w:color w:val="auto"/>
                <w:kern w:val="0"/>
                <w:sz w:val="20"/>
                <w:szCs w:val="20"/>
                <w:lang w:val="en-US" w:eastAsia="zh-CN"/>
              </w:rPr>
              <w:t>万元以下的罚款，属于国家工作人员的，依法给予处分。法律、行政法规另有规定的，依照其规定。</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.立案责任：投资主管部门在检查中发现或接到举报或者交办、上报、移送的此类案件，应予以审查，决定是否立案。</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.调查责任：对立案的案件，指定专人负责，与当事人有直接利害关系的应当回避。执法人员不得少于两人，调查时应出示执法证件，允许当事人辩解陈述，执法人员应保守有关秘密。</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审查责任：对案件违法事实、证据、调查取证程序、法律适用、处罚种类和幅度、当事人陈述和申辩理由等方面进行审理审查，提出处理意见，对情节复杂或者重大违法行为给予较重的行政处罚，应当集体讨论决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.告知责任：在做出行政处罚决定前，应当填写行政处罚事先告知书，告知当事人违法事实、处罚的理由和依据，以及当事人依法享有的陈述、申辩、要求听证等权利。</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.决定责任：根据审查情况决定是否予以行政处罚。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.送达责任：制发文书并送达被处罚人、利害关系人（举报人）或有关单位。</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.执行责任：监督当事人在决定的期限内，履行生效的行政处罚决定。</w:t>
            </w: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.监督责任：根据法律法规对项目进行监管</w:t>
            </w:r>
            <w:r>
              <w:rPr>
                <w:rFonts w:hint="default" w:ascii="Times New Roman" w:hAnsi="Times New Roman" w:eastAsia="仿宋_GB2312" w:cs="Times New Roman"/>
                <w:color w:val="auto"/>
                <w:kern w:val="0"/>
                <w:sz w:val="20"/>
                <w:szCs w:val="20"/>
                <w:lang w:val="en-US" w:eastAsia="zh-CN"/>
              </w:rPr>
              <w:t>9</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第二十三条　行政处罚由县级以上地方人民政府具有行政处罚权的行政机关管辖。法律、行政法规另有规定的，从其规定。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修订)》第五十四条</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第四十四条　行政机关在作出行政处罚决定之前，应当告知当事人拟作出的行政处罚内容及事实、理由、依据，并告知当事人依法享有的陈述、申辩、要求听证等权利。</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第五十九条  行政机关依照本法第五十七条的规定给予行政处罚，应当制作行政处　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第六十一条　行政处罚决定书应当在宣告后当场交付当事人；当事人不在场的，行政机关应当在七日内依照《中华人民共和国民事诉讼法》的有关规定，将行政处罚决定书送达当事人。</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第七十五条　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color w:val="auto"/>
                <w:kern w:val="0"/>
                <w:sz w:val="20"/>
                <w:szCs w:val="20"/>
                <w:lang w:val="en-US" w:eastAsia="zh-CN"/>
              </w:rPr>
              <w:t>。</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bidi="ar-SA"/>
              </w:rPr>
            </w:pP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.【部门规章】《企业投资项目核准和备案管理办法》（</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第四十六条：项目核准和备案机关、行业管理、城乡规划（建设）、国家安全、国土（海洋）资源、环境保护、节能审查、金融监管、安全生产监管、审计等部门，应当按照谁审批谁监管、谁主管谁监管的原则，采取在线监测、现场核查等方式，依法加强对项目的事中事后监管。项目核准、备案机关应当根据法律法规和发展规划、产业政策、总量控制目标、技术政策、准入标准及相关环保要求等，对项目进行监管。</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.没有法定的行政处罚依据的；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.擅自改变行政处罚种类和幅度的；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.违反法定的行政处罚程序的；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 xml:space="preserve">.违反行政处罚关于委托处罚的规定的；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.对应当予以制止和处罚的违法行为不予制止、处罚，致使公民、法人或者其他组织的合法权益、公共利益和社会秩序遭受损害的；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.违反规定应当回避而不回避，影响公正执行公务，造成不良后果的；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.违反 罚缴分离  规定，擅自收取罚款的；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.对当事人进行罚款、没收财物等行政处罚不使用法定单据的；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9</w:t>
            </w:r>
            <w:r>
              <w:rPr>
                <w:rFonts w:hint="eastAsia" w:ascii="仿宋_GB2312" w:hAnsi="仿宋_GB2312" w:eastAsia="仿宋_GB2312" w:cs="仿宋_GB2312"/>
                <w:color w:val="auto"/>
                <w:kern w:val="0"/>
                <w:sz w:val="20"/>
                <w:szCs w:val="20"/>
              </w:rPr>
              <w:t>.依法应当移送其他行政部门或司法机关处理而不移送的；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.在行政处罚过程中发生腐败行为的；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.其他违反法律法规规章文件规定的行为。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 xml:space="preserve">修订) 》第七十六条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 xml:space="preserve">修订) 》 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.【行政法规】《行政机关公务员处分条例》（国务院令第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 xml:space="preserve">号）第十九条第五项 有下列行为之一的，给予警告、记过或者记大过处分；情节较重的，给予降级或者撤职处分；情节严重的，给予开除处分：（五）违反规定应当回避而不回避，影响公正执行公务，造成不良后果的。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 xml:space="preserve"> -</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2004</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  第八条 实施行政行为，有下列情形之一的，应当追究行政过错责任人的责任:（一）依法应当回避不回避；</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2004</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 xml:space="preserve">号) 第十二条 行政机关在实施行政处罚过程中，有下列情形之一的，应当追究行政过错责任： （一）不具备行政处罚主体资格；（二）没有事实和法律依据；（三）擅自改变处罚种类、幅度；（四）违反法定程序；（五）违法处理罚没财物；（六）涉嫌犯罪，不移交司法机关；（七）对违法行为应当处罚不处罚或者乱处罚；（八）其他违法实施行政处罚的情形。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》第七十九条　行政机关截留、私分或者变相私分罚款、没收的违法所得或者财物的，由财政部门或者有关机关予以追缴，对直接负责的主管人员和其他直接责任人员依法给予处分；情节严重构成犯罪的，依法追究刑事责任。　执法人员利用职务上的便利，索取或者收受他人财物、将收缴罚款据为己有，构成犯罪的，依法追究刑事责任；情节轻微不构成犯罪的，依法给予处分。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.【行政法规】《企业投资项目核准和备案管理条例》（中华人民共和国国务院令第</w:t>
            </w:r>
            <w:r>
              <w:rPr>
                <w:rFonts w:hint="default" w:ascii="Times New Roman" w:hAnsi="Times New Roman" w:eastAsia="仿宋_GB2312" w:cs="Times New Roman"/>
                <w:color w:val="auto"/>
                <w:kern w:val="0"/>
                <w:sz w:val="20"/>
                <w:szCs w:val="20"/>
              </w:rPr>
              <w:t>673</w:t>
            </w:r>
            <w:r>
              <w:rPr>
                <w:rFonts w:hint="eastAsia" w:ascii="仿宋_GB2312" w:hAnsi="仿宋_GB2312" w:eastAsia="仿宋_GB2312" w:cs="仿宋_GB2312"/>
                <w:color w:val="auto"/>
                <w:kern w:val="0"/>
                <w:sz w:val="20"/>
                <w:szCs w:val="20"/>
              </w:rPr>
              <w:t>号，</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日起施行）第二十一条　核准机关、备案机关及其工作人员在项目核准、备案工作中玩忽职守、滥用职权、徇私舞弊的，对负有责任的领导人员和直接责任人员依法给予处分；构成犯罪的，依法追究刑事责任。</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企业投资项目核准和备案管理办法</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lang w:val="en-US" w:eastAsia="zh-CN"/>
              </w:rPr>
              <w:t>中华人民共和国国家发展和改革委员会令第</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号</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第五十三条 项目核准、备案机关及其工作人员，以及其他相关部门及其工作人员，在项目核准、备案以及相关审批手续办理过程中玩忽职守、滥用职权、徇私舞弊、索贿受贿的，对负有责任的领导人员和直接责任人员依法给予处分；构成犯罪的，依法追究刑事责任。</w:t>
            </w:r>
          </w:p>
        </w:tc>
        <w:tc>
          <w:tcPr>
            <w:tcW w:w="96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01"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9</w:t>
            </w:r>
          </w:p>
        </w:tc>
        <w:tc>
          <w:tcPr>
            <w:tcW w:w="64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snapToGrid w:val="0"/>
                <w:color w:val="auto"/>
                <w:sz w:val="20"/>
                <w:szCs w:val="20"/>
                <w:lang w:eastAsia="zh-CN"/>
              </w:rPr>
            </w:pPr>
            <w:r>
              <w:rPr>
                <w:rFonts w:hint="eastAsia" w:ascii="仿宋_GB2312" w:hAnsi="仿宋_GB2312" w:eastAsia="仿宋_GB2312" w:cs="仿宋_GB2312"/>
                <w:snapToGrid w:val="0"/>
                <w:color w:val="auto"/>
                <w:sz w:val="20"/>
                <w:szCs w:val="20"/>
                <w:lang w:eastAsia="zh-CN"/>
              </w:rPr>
              <w:t>行政处罚</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highlight w:val="none"/>
                <w:lang w:val="en-US" w:eastAsia="zh-CN"/>
              </w:rPr>
              <w:t>对提供虚假信息的节能咨询、设计、评估、检测、审计、认证等服务的机构处罚</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粮食物资监督管理股</w:t>
            </w:r>
          </w:p>
        </w:tc>
        <w:tc>
          <w:tcPr>
            <w:tcW w:w="4121" w:type="dxa"/>
            <w:tcBorders>
              <w:tl2br w:val="nil"/>
              <w:tr2bl w:val="nil"/>
            </w:tcBorders>
            <w:vAlign w:val="center"/>
          </w:tcPr>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法律】《中华人民共和国节约能源法》第七十六条：从事节能咨询、设计、评估、检测、审计、认证等服务的机构提供虚假信息的，由管理节能工作的部门责令改正，没收违法所得，并处五万元以上十万元以下罚款。</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.立案责任：节能工作管理部门在检查中发现或者接到举报或者交办、上报、移送的此类案件，应予以审查，决定是否立案。</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.调查责任：对立案的案件，指定专人负责，与当事人有直接利害关系的应当回避。执法人员不得少于两人，调查时应出示执法证件，允许当事人辩解陈述，执法人员应保守有关秘密。</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审查责任：对案件违法事实、证据、调查取证程序、法律适用、处罚种类和幅度、当事人陈述和申辩理由等方面进行审理审查，提出处理意见，对情节复杂或者重大违法行为给予较重的行政处罚，应当集体讨论决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.告知责任：在做出行政处罚决定前，应当填写行政处罚事先告知书，告知当事人违法事实、处罚的理由和依据，以及当事人依法享有的陈述、申辩、要求听证等权利。</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.决定责任：根据审查情况决定是否予以行政处罚。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.送达责任：制发文书并送达被处罚人、利害关系人（举报人）或有关单位。</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.执行责任：监督当事人在决定的期限内，履行生效的行政处罚决定。</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.监督责任：根据法律法规对节能咨询、设计、评估、检测、审计、认证等服务的机构进行监管</w:t>
            </w:r>
            <w:r>
              <w:rPr>
                <w:rFonts w:hint="default" w:ascii="Times New Roman" w:hAnsi="Times New Roman" w:eastAsia="仿宋_GB2312" w:cs="Times New Roman"/>
                <w:color w:val="auto"/>
                <w:kern w:val="0"/>
                <w:sz w:val="20"/>
                <w:szCs w:val="20"/>
                <w:lang w:val="en-US" w:eastAsia="zh-CN"/>
              </w:rPr>
              <w:t>9</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第二十三条　行政处罚由县级以上地方人民政府具有行政处罚权的行政机关管辖。法律、行政法规另有规定的，从其规定。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第四十四条　行政机关在作出行政处罚决定之前，应当告知当事人拟作出的行政处罚内容及事实、理由、依据，并告知当事人依法享有的陈述、申辩、要求听证等权利。</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第五十九条  行政机关依照本法第五十七条的规定给予行政处罚，应当制作行政处　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第六十一条　行政处罚决定书应当在宣告后当场交付当事人；当事人不在场的，行政机关应当在七日内依照《中华人民共和国民事诉讼法》的有关规定，将行政处罚决定书送达当事人。</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第七十五条　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color w:val="auto"/>
                <w:kern w:val="0"/>
                <w:sz w:val="20"/>
                <w:szCs w:val="20"/>
                <w:lang w:val="en-US" w:eastAsia="zh-CN"/>
              </w:rPr>
              <w:t>。</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.【部门规章】《固定资产投资项目节能审查办法》（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44</w:t>
            </w:r>
            <w:r>
              <w:rPr>
                <w:rFonts w:hint="eastAsia" w:ascii="仿宋_GB2312" w:hAnsi="仿宋_GB2312" w:eastAsia="仿宋_GB2312" w:cs="仿宋_GB2312"/>
                <w:color w:val="auto"/>
                <w:kern w:val="0"/>
                <w:sz w:val="20"/>
                <w:szCs w:val="20"/>
                <w:lang w:val="en-US" w:eastAsia="zh-CN"/>
              </w:rPr>
              <w:t>号）第十四条：节能审查机关对建设单位、中介机构等的违法违规信息进行记录，将违法违规信息纳入全国信用信息共享平台和投资项目审批监管平台，在</w:t>
            </w:r>
            <w:r>
              <w:rPr>
                <w:rFonts w:hint="eastAsia" w:ascii="仿宋_GB2312" w:hAnsi="仿宋_GB2312" w:eastAsia="仿宋_GB2312" w:cs="仿宋_GB2312"/>
                <w:color w:val="auto"/>
                <w:kern w:val="0"/>
                <w:sz w:val="20"/>
                <w:szCs w:val="20"/>
                <w:lang w:eastAsia="zh-CN"/>
              </w:rPr>
              <w:t xml:space="preserve"> </w:t>
            </w:r>
            <w:r>
              <w:rPr>
                <w:rFonts w:hint="eastAsia" w:ascii="仿宋_GB2312" w:hAnsi="仿宋_GB2312" w:eastAsia="仿宋_GB2312" w:cs="仿宋_GB2312"/>
                <w:color w:val="auto"/>
                <w:kern w:val="0"/>
                <w:sz w:val="20"/>
                <w:szCs w:val="20"/>
                <w:lang w:val="en-US" w:eastAsia="zh-CN"/>
              </w:rPr>
              <w:t>信用中国</w:t>
            </w:r>
            <w:r>
              <w:rPr>
                <w:rFonts w:hint="eastAsia" w:ascii="仿宋_GB2312" w:hAnsi="仿宋_GB2312" w:eastAsia="仿宋_GB2312" w:cs="仿宋_GB2312"/>
                <w:color w:val="auto"/>
                <w:kern w:val="0"/>
                <w:sz w:val="20"/>
                <w:szCs w:val="20"/>
                <w:lang w:eastAsia="zh-CN"/>
              </w:rPr>
              <w:t xml:space="preserve">  </w:t>
            </w:r>
            <w:r>
              <w:rPr>
                <w:rFonts w:hint="eastAsia" w:ascii="仿宋_GB2312" w:hAnsi="仿宋_GB2312" w:eastAsia="仿宋_GB2312" w:cs="仿宋_GB2312"/>
                <w:color w:val="auto"/>
                <w:kern w:val="0"/>
                <w:sz w:val="20"/>
                <w:szCs w:val="20"/>
                <w:lang w:val="en-US" w:eastAsia="zh-CN"/>
              </w:rPr>
              <w:t>网站向社会公开。</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.没有法定的行政处罚依据的；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.擅自改变行政处罚种类和幅度的；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.违反法定的行政处罚程序的；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 xml:space="preserve">.违反行政处罚关于委托处罚的规定的；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.对应当予以制止和处罚的违法行为不予制止、处罚，致使公民、法人或者其他组织的合法权益、公共利益和社会秩序遭受损害的；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.违反规定应当回避而不回避，影响公正执行公务，造成不良后果的；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.违反 罚缴分离  规定，擅自收取罚款的；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.对当事人进行罚款、没收财物等行政处罚不使用法定单据的；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9</w:t>
            </w:r>
            <w:r>
              <w:rPr>
                <w:rFonts w:hint="eastAsia" w:ascii="仿宋_GB2312" w:hAnsi="仿宋_GB2312" w:eastAsia="仿宋_GB2312" w:cs="仿宋_GB2312"/>
                <w:color w:val="auto"/>
                <w:kern w:val="0"/>
                <w:sz w:val="20"/>
                <w:szCs w:val="20"/>
              </w:rPr>
              <w:t>.依法应当移送其他行政部门或司法机关处理而不移送的；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.在行政处罚过程中发生腐败行为的；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11</w:t>
            </w:r>
            <w:r>
              <w:rPr>
                <w:rFonts w:hint="eastAsia" w:ascii="仿宋_GB2312" w:hAnsi="仿宋_GB2312" w:eastAsia="仿宋_GB2312" w:cs="仿宋_GB2312"/>
                <w:color w:val="auto"/>
                <w:kern w:val="0"/>
                <w:sz w:val="20"/>
                <w:szCs w:val="20"/>
              </w:rPr>
              <w:t>.其他违反法律法规规章文件规定的行为。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 xml:space="preserve">修订) 》第七十六条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 第八十三条</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 xml:space="preserve">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.【行政法规】《行政机关公务员处分条例》（国务院令第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 xml:space="preserve">号）第十九条第五项 有下列行为之一的，给予警告、记过或者记大过处分；情节较重的，给予降级或者撤职处分；情节严重的，给予开除处分：（五）违反规定应当回避而不回避，影响公正执行公务，造成不良后果的。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2004</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  第八条 实施行政行为，有下列情形之一的，应当追究行政过错责任人的责任:（一）依法应当回避不回避；</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6</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 xml:space="preserve">.【法律】《中华人民共和国公务员法》一百零八条 公务员主管部门的工作人员，违反本法规定，滥用职权、玩忽职守、徇私舞弊，构成犯罪的，依法追究刑事责任；尚不构成犯罪的，给予处分或者由监察机关依法给予政务处分。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.【地方政府规章】《广西壮族自治区行政过错责任追究办法》（</w:t>
            </w:r>
            <w:r>
              <w:rPr>
                <w:rFonts w:hint="default" w:ascii="Times New Roman" w:hAnsi="Times New Roman" w:eastAsia="仿宋_GB2312" w:cs="Times New Roman"/>
                <w:color w:val="auto"/>
                <w:kern w:val="0"/>
                <w:sz w:val="20"/>
                <w:szCs w:val="20"/>
              </w:rPr>
              <w:t>2004</w:t>
            </w:r>
            <w:r>
              <w:rPr>
                <w:rFonts w:hint="eastAsia" w:ascii="仿宋_GB2312" w:hAnsi="仿宋_GB2312" w:eastAsia="仿宋_GB2312" w:cs="仿宋_GB2312"/>
                <w:color w:val="auto"/>
                <w:kern w:val="0"/>
                <w:sz w:val="20"/>
                <w:szCs w:val="20"/>
              </w:rPr>
              <w:t>年广西壮族自治区人民政府令第</w:t>
            </w:r>
            <w:r>
              <w:rPr>
                <w:rFonts w:hint="default" w:ascii="Times New Roman" w:hAnsi="Times New Roman" w:eastAsia="仿宋_GB2312" w:cs="Times New Roman"/>
                <w:color w:val="auto"/>
                <w:kern w:val="0"/>
                <w:sz w:val="20"/>
                <w:szCs w:val="20"/>
              </w:rPr>
              <w:t>24</w:t>
            </w:r>
            <w:r>
              <w:rPr>
                <w:rFonts w:hint="eastAsia" w:ascii="仿宋_GB2312" w:hAnsi="仿宋_GB2312" w:eastAsia="仿宋_GB2312" w:cs="仿宋_GB2312"/>
                <w:color w:val="auto"/>
                <w:kern w:val="0"/>
                <w:sz w:val="20"/>
                <w:szCs w:val="20"/>
              </w:rPr>
              <w:t>号)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8</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9</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.【法律】《中华人民共和国行政处罚法(</w:t>
            </w:r>
            <w:r>
              <w:rPr>
                <w:rFonts w:hint="default" w:ascii="Times New Roman" w:hAnsi="Times New Roman" w:eastAsia="仿宋_GB2312" w:cs="Times New Roman"/>
                <w:color w:val="auto"/>
                <w:kern w:val="0"/>
                <w:sz w:val="20"/>
                <w:szCs w:val="20"/>
              </w:rPr>
              <w:t>2021</w:t>
            </w:r>
            <w:r>
              <w:rPr>
                <w:rFonts w:hint="eastAsia" w:ascii="仿宋_GB2312" w:hAnsi="仿宋_GB2312" w:eastAsia="仿宋_GB2312" w:cs="仿宋_GB2312"/>
                <w:color w:val="auto"/>
                <w:kern w:val="0"/>
                <w:sz w:val="20"/>
                <w:szCs w:val="20"/>
              </w:rPr>
              <w:t>修订) 》第七十九条　行政机关截留、私分或者变相私分罚款、没收的违法所得或者财物的，由财政部门或者有关机关予以追缴，对直接负责的主管人员和其他直接责任人员依法给予处分；情节严重构成犯罪的，依法追究刑事责任。　执法人员利用职务上的便利，索取或者收受他人财物、将收缴罚款据为己有，构成犯罪的，依法追究刑事责任；情节轻微不构成犯罪的，依法给予处分。</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10</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.【部门规章】《固定资产投资项目节能审查办法》（中华人民共和国国家发展和改革委员会令第</w:t>
            </w:r>
            <w:r>
              <w:rPr>
                <w:rFonts w:hint="default" w:ascii="Times New Roman" w:hAnsi="Times New Roman" w:eastAsia="仿宋_GB2312" w:cs="Times New Roman"/>
                <w:color w:val="auto"/>
                <w:kern w:val="0"/>
                <w:sz w:val="20"/>
                <w:szCs w:val="20"/>
              </w:rPr>
              <w:t>44</w:t>
            </w:r>
            <w:r>
              <w:rPr>
                <w:rFonts w:hint="eastAsia" w:ascii="仿宋_GB2312" w:hAnsi="仿宋_GB2312" w:eastAsia="仿宋_GB2312" w:cs="仿宋_GB2312"/>
                <w:color w:val="auto"/>
                <w:kern w:val="0"/>
                <w:sz w:val="20"/>
                <w:szCs w:val="20"/>
              </w:rPr>
              <w:t>号，</w:t>
            </w:r>
            <w:r>
              <w:rPr>
                <w:rFonts w:hint="default" w:ascii="Times New Roman" w:hAnsi="Times New Roman" w:eastAsia="仿宋_GB2312" w:cs="Times New Roman"/>
                <w:color w:val="auto"/>
                <w:kern w:val="0"/>
                <w:sz w:val="20"/>
                <w:szCs w:val="20"/>
              </w:rPr>
              <w:t>2017</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日起施行）第十三条.......负责审批政府投资项目的工作人员，对未进行节能审查或节能审查未获通过的项目，违反本办法规定予以批准的，依法给予处分。</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restart"/>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10</w:t>
            </w:r>
          </w:p>
        </w:tc>
        <w:tc>
          <w:tcPr>
            <w:tcW w:w="645" w:type="dxa"/>
            <w:vMerge w:val="restart"/>
            <w:tcBorders>
              <w:tl2br w:val="nil"/>
              <w:tr2bl w:val="nil"/>
            </w:tcBorders>
            <w:vAlign w:val="center"/>
          </w:tcPr>
          <w:p>
            <w:pPr>
              <w:widowControl/>
              <w:adjustRightInd w:val="0"/>
              <w:snapToGrid w:val="0"/>
              <w:spacing w:line="296" w:lineRule="exact"/>
              <w:jc w:val="both"/>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eastAsia" w:ascii="仿宋_GB2312" w:hAnsi="仿宋_GB2312" w:eastAsia="仿宋_GB2312" w:cs="仿宋_GB2312"/>
                <w:i w:val="0"/>
                <w:iCs w:val="0"/>
                <w:caps w:val="0"/>
                <w:color w:val="auto"/>
                <w:spacing w:val="0"/>
                <w:sz w:val="20"/>
                <w:szCs w:val="20"/>
                <w:shd w:val="clear" w:color="080000" w:fill="FFFFFF"/>
                <w:lang w:eastAsia="zh-CN"/>
              </w:rPr>
              <w:t>行政处罚</w:t>
            </w:r>
          </w:p>
        </w:tc>
        <w:tc>
          <w:tcPr>
            <w:tcW w:w="615" w:type="dxa"/>
            <w:vMerge w:val="restart"/>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对承储企业违反储备粮管理有关规定的处罚</w:t>
            </w: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.对粮食收购企业未按照规定备案或者提供虚假备案信息的处罚</w:t>
            </w: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restart"/>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粮食物资监督管理股</w:t>
            </w:r>
          </w:p>
        </w:tc>
        <w:tc>
          <w:tcPr>
            <w:tcW w:w="4121" w:type="dxa"/>
            <w:tcBorders>
              <w:tl2br w:val="nil"/>
              <w:tr2bl w:val="nil"/>
            </w:tcBorders>
            <w:vAlign w:val="center"/>
          </w:tcPr>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【法律】《粮食流通管理条例》（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号第三次修订）第四十三条：由粮食和储备行政管理部门责令改正，给予警告；拒不改正的，处</w:t>
            </w: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万元以下罚款。</w:t>
            </w:r>
          </w:p>
        </w:tc>
        <w:tc>
          <w:tcPr>
            <w:tcW w:w="2348" w:type="dxa"/>
            <w:vMerge w:val="restart"/>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.立案阶段责任：在检查中发现或者接到举报，反映以欺骗、贿赂等不正当手段取得粮食收购资格许可行为和粮食经营者涂改、倒卖、出租、出借《粮食收购许可证》行为，予以审查，决定是否立案。</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.审查阶段责任：对案件的违法事实、证据、调查取证程序、法律适用、处罚种类和幅度、当事人陈述和申辩的内容（包括事实、理由和证据）等调查结果进行审查。</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.告知阶段责任：在作出行政处罚决定之前，告知当事人作出行政处罚决定的事实、理由及依据，并告知当事人依法享有的权利。</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.决定阶段责任：根据审理情况决定是否予以行政处罚。依法需要给予行政处罚的，制作粮食行政处罚决定书，载明违法事实和证据、处罚依据和内容、申请行政复议或提起行政诉讼的途径和期限等内容。</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6</w:t>
            </w:r>
            <w:r>
              <w:rPr>
                <w:rFonts w:hint="eastAsia" w:ascii="仿宋_GB2312" w:hAnsi="仿宋_GB2312" w:eastAsia="仿宋_GB2312" w:cs="仿宋_GB2312"/>
                <w:color w:val="auto"/>
                <w:kern w:val="0"/>
                <w:sz w:val="20"/>
                <w:szCs w:val="20"/>
                <w:lang w:eastAsia="zh-CN"/>
              </w:rPr>
              <w:t>.送达阶段责任：行政处罚决定书在宣告后当场交付当事人；当事人不在场的，在七日内依照民事诉讼法的有关规定，将行政处罚决定书送达当事人。</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7</w:t>
            </w:r>
            <w:r>
              <w:rPr>
                <w:rFonts w:hint="eastAsia" w:ascii="仿宋_GB2312" w:hAnsi="仿宋_GB2312" w:eastAsia="仿宋_GB2312" w:cs="仿宋_GB2312"/>
                <w:color w:val="auto"/>
                <w:kern w:val="0"/>
                <w:sz w:val="20"/>
                <w:szCs w:val="20"/>
                <w:lang w:eastAsia="zh-CN"/>
              </w:rPr>
              <w:t>.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8</w:t>
            </w:r>
            <w:r>
              <w:rPr>
                <w:rFonts w:hint="eastAsia" w:ascii="仿宋_GB2312" w:hAnsi="仿宋_GB2312" w:eastAsia="仿宋_GB2312" w:cs="仿宋_GB2312"/>
                <w:color w:val="auto"/>
                <w:kern w:val="0"/>
                <w:sz w:val="20"/>
                <w:szCs w:val="20"/>
                <w:lang w:eastAsia="zh-CN"/>
              </w:rPr>
              <w:t>.其他法律法规规章文件规定应履行的责任。</w:t>
            </w:r>
          </w:p>
        </w:tc>
        <w:tc>
          <w:tcPr>
            <w:tcW w:w="3806" w:type="dxa"/>
            <w:vMerge w:val="restart"/>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法律】《中华人民共和国行政处罚法》第四十四条：行政机关在作出行政处罚决定之前，应当告知当事人拟作出的行政处罚决定的内容及事实、理由、依据，并告知当事人依法享有的陈述、申辩、要求听证等权利。</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.【法律】《中华人民共和国行政处罚法》第五十五条：执法人员在调查或者进行检查时，应当主动向当事人或者有关人员出示执法证件。</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的负责人应当集体讨论决定。</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6</w:t>
            </w:r>
            <w:r>
              <w:rPr>
                <w:rFonts w:hint="eastAsia" w:ascii="仿宋_GB2312" w:hAnsi="仿宋_GB2312" w:eastAsia="仿宋_GB2312" w:cs="仿宋_GB2312"/>
                <w:color w:val="auto"/>
                <w:kern w:val="0"/>
                <w:sz w:val="20"/>
                <w:szCs w:val="20"/>
                <w:lang w:eastAsia="zh-CN"/>
              </w:rPr>
              <w:t>.【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7</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法律】《中华人民共和国行政处罚法》第六十六条：行政处罚决定依法作出后，当事人应当在行政处罚决定书载明的期限内，予以履行。当事人确有经济困难，需要延期或者分期缴纳罚款的，经当事人申请和行政机关批准，可以暂缓或者分期缴纳。</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7</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法律】《中华人民共和国行政处罚法》第七十二条：当事人逾期不履行行政处罚决定的，作出行政处罚决定的行政机关可以采取下列措施：（一）到期不缴纳罚款的，每日按罚款数额的百分之三加处罚款，加处罚款的数额不的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2306" w:type="dxa"/>
            <w:vMerge w:val="restart"/>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因不履行或不正确履行行政职责，有下列情形的行政机关及相关工作人员应承担相应的责任：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.不具备行政处罚主体资格；</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.没有事实和法律依据；</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.擅自改变处罚种类、幅度；</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.违反法定程序；</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.违法处理罚没财物；</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6</w:t>
            </w:r>
            <w:r>
              <w:rPr>
                <w:rFonts w:hint="eastAsia" w:ascii="仿宋_GB2312" w:hAnsi="仿宋_GB2312" w:eastAsia="仿宋_GB2312" w:cs="仿宋_GB2312"/>
                <w:color w:val="auto"/>
                <w:kern w:val="0"/>
                <w:sz w:val="20"/>
                <w:szCs w:val="20"/>
                <w:lang w:eastAsia="zh-CN"/>
              </w:rPr>
              <w:t>.涉嫌犯罪，不移交司法机关；</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7</w:t>
            </w:r>
            <w:r>
              <w:rPr>
                <w:rFonts w:hint="eastAsia" w:ascii="仿宋_GB2312" w:hAnsi="仿宋_GB2312" w:eastAsia="仿宋_GB2312" w:cs="仿宋_GB2312"/>
                <w:color w:val="auto"/>
                <w:kern w:val="0"/>
                <w:sz w:val="20"/>
                <w:szCs w:val="20"/>
                <w:lang w:eastAsia="zh-CN"/>
              </w:rPr>
              <w:t>.对违法行为应当处罚不处罚或乱处罚；</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8</w:t>
            </w:r>
            <w:r>
              <w:rPr>
                <w:rFonts w:hint="eastAsia" w:ascii="仿宋_GB2312" w:hAnsi="仿宋_GB2312" w:eastAsia="仿宋_GB2312" w:cs="仿宋_GB2312"/>
                <w:color w:val="auto"/>
                <w:kern w:val="0"/>
                <w:sz w:val="20"/>
                <w:szCs w:val="20"/>
                <w:lang w:eastAsia="zh-CN"/>
              </w:rPr>
              <w:t>.除以上追责情形外，其他违反法律法规规章的行为依法追究相应责任。</w:t>
            </w:r>
          </w:p>
        </w:tc>
        <w:tc>
          <w:tcPr>
            <w:tcW w:w="4264" w:type="dxa"/>
            <w:vMerge w:val="restart"/>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.【地方规章】《广西壮族自治区行政过错责任追究办法》（</w:t>
            </w:r>
            <w:r>
              <w:rPr>
                <w:rFonts w:hint="default" w:ascii="Times New Roman" w:hAnsi="Times New Roman" w:eastAsia="仿宋_GB2312" w:cs="Times New Roman"/>
                <w:color w:val="auto"/>
                <w:kern w:val="0"/>
                <w:sz w:val="20"/>
                <w:szCs w:val="20"/>
                <w:lang w:eastAsia="zh-CN"/>
              </w:rPr>
              <w:t>2007</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eastAsia="zh-CN"/>
              </w:rPr>
              <w:t>24</w:t>
            </w:r>
            <w:r>
              <w:rPr>
                <w:rFonts w:hint="eastAsia" w:ascii="仿宋_GB2312" w:hAnsi="仿宋_GB2312" w:eastAsia="仿宋_GB2312" w:cs="仿宋_GB2312"/>
                <w:color w:val="auto"/>
                <w:kern w:val="0"/>
                <w:sz w:val="20"/>
                <w:szCs w:val="20"/>
                <w:lang w:eastAsia="zh-CN"/>
              </w:rPr>
              <w:t>号公布）  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乱处罚。</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6</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7</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8</w:t>
            </w:r>
            <w:r>
              <w:rPr>
                <w:rFonts w:hint="eastAsia" w:ascii="仿宋_GB2312" w:hAnsi="仿宋_GB2312" w:eastAsia="仿宋_GB2312" w:cs="仿宋_GB2312"/>
                <w:color w:val="auto"/>
                <w:kern w:val="0"/>
                <w:sz w:val="20"/>
                <w:szCs w:val="20"/>
                <w:lang w:eastAsia="zh-CN"/>
              </w:rPr>
              <w:t>.《粮食和物资储备执法督查工作规程》（国粮执法〔</w:t>
            </w:r>
            <w:r>
              <w:rPr>
                <w:rFonts w:hint="default" w:ascii="Times New Roman" w:hAnsi="Times New Roman" w:eastAsia="仿宋_GB2312" w:cs="Times New Roman"/>
                <w:color w:val="auto"/>
                <w:kern w:val="0"/>
                <w:sz w:val="20"/>
                <w:szCs w:val="20"/>
                <w:lang w:eastAsia="zh-CN"/>
              </w:rPr>
              <w:t>202</w:t>
            </w:r>
            <w:r>
              <w:rPr>
                <w:rFonts w:hint="default" w:ascii="Times New Roman" w:hAnsi="Times New Roman" w:eastAsia="仿宋_GB2312" w:cs="Times New Roman"/>
                <w:color w:val="auto"/>
                <w:kern w:val="0"/>
                <w:sz w:val="20"/>
                <w:szCs w:val="20"/>
                <w:lang w:val="en-US" w:eastAsia="zh-CN"/>
              </w:rPr>
              <w:t>0</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245</w:t>
            </w:r>
            <w:r>
              <w:rPr>
                <w:rFonts w:hint="eastAsia" w:ascii="仿宋_GB2312" w:hAnsi="仿宋_GB2312" w:eastAsia="仿宋_GB2312" w:cs="仿宋_GB2312"/>
                <w:color w:val="auto"/>
                <w:kern w:val="0"/>
                <w:sz w:val="20"/>
                <w:szCs w:val="20"/>
                <w:lang w:eastAsia="zh-CN"/>
              </w:rPr>
              <w:t>号）  第六十六条：执法督查人员违反本规程第六十三条、第六十四条规定的，由粮食和储备部门依据《中华人民共和国公职人员政务处分法》《粮食流通管理条例》《中央储备粮管理条例》等相关法律法规，依法给予行政处分，构成犯罪的，依法移送司法机关。</w:t>
            </w:r>
          </w:p>
        </w:tc>
        <w:tc>
          <w:tcPr>
            <w:tcW w:w="960" w:type="dxa"/>
            <w:vMerge w:val="restart"/>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法律法规规章规定的免责情形及市委、市人民政府有关文件中明确的免责情形。</w:t>
            </w:r>
          </w:p>
        </w:tc>
        <w:tc>
          <w:tcPr>
            <w:tcW w:w="675" w:type="dxa"/>
            <w:vMerge w:val="restart"/>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continue"/>
            <w:tcBorders>
              <w:tl2br w:val="nil"/>
              <w:tr2bl w:val="nil"/>
            </w:tcBorders>
            <w:vAlign w:val="center"/>
          </w:tcPr>
          <w:p>
            <w:pPr>
              <w:widowControl/>
              <w:adjustRightInd w:val="0"/>
              <w:snapToGrid w:val="0"/>
              <w:spacing w:line="296" w:lineRule="exact"/>
              <w:jc w:val="left"/>
              <w:rPr>
                <w:color w:val="auto"/>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color w:val="auto"/>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color w:val="auto"/>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.对粮食收购者未执行国家粮食质量标准的处罚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号第三次修订）第四十五条：由粮食和储备行政管理部门责令改正，给予警告，可以并处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万元以下罚款；情节严重的，并处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50</w:t>
            </w:r>
            <w:r>
              <w:rPr>
                <w:rFonts w:hint="eastAsia" w:ascii="仿宋_GB2312" w:hAnsi="仿宋_GB2312" w:eastAsia="仿宋_GB2312" w:cs="仿宋_GB2312"/>
                <w:color w:val="auto"/>
                <w:kern w:val="0"/>
                <w:sz w:val="20"/>
                <w:szCs w:val="20"/>
                <w:lang w:eastAsia="zh-CN"/>
              </w:rPr>
              <w:t>万元以下罚款：(一)粮食收购者未执行国家粮食质量标准。</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.对粮食收购者未及时向售粮者支付售粮款的处罚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号第三次修订）第四十五条：由粮食和储备行政管理部门责令改正，给予警告，可以并处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万元以下罚款；情节严重的，并处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50</w:t>
            </w:r>
            <w:r>
              <w:rPr>
                <w:rFonts w:hint="eastAsia" w:ascii="仿宋_GB2312" w:hAnsi="仿宋_GB2312" w:eastAsia="仿宋_GB2312" w:cs="仿宋_GB2312"/>
                <w:color w:val="auto"/>
                <w:kern w:val="0"/>
                <w:sz w:val="20"/>
                <w:szCs w:val="20"/>
                <w:lang w:eastAsia="zh-CN"/>
              </w:rPr>
              <w:t>万元以下罚款：(二)粮食收购者未及时向售粮者支付售粮款。</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.对粮食收购者违反规定代扣、代缴税、费和其他款项的处罚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号第三次修订）第四十五条：由粮食和储备行政管理部门责令改正，给予警告，可以并处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万元以下罚款；情节严重的，并处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50</w:t>
            </w:r>
            <w:r>
              <w:rPr>
                <w:rFonts w:hint="eastAsia" w:ascii="仿宋_GB2312" w:hAnsi="仿宋_GB2312" w:eastAsia="仿宋_GB2312" w:cs="仿宋_GB2312"/>
                <w:color w:val="auto"/>
                <w:kern w:val="0"/>
                <w:sz w:val="20"/>
                <w:szCs w:val="20"/>
                <w:lang w:eastAsia="zh-CN"/>
              </w:rPr>
              <w:t>万元以下罚款：(三)粮食收购者违反本条例规定代扣、代缴税、费和其他款项。</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.对粮食收购者收购粮食，未按照国家有关规定进行质量安全检验，或者对不符合食品安全标准的粮食未作为非食用用途单独储存的处罚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号第三次修订）第四十五条：由粮食和储备行政管理部门责令改正，给予警告，可以并处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万元以下罚款；情节严重的，并处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50</w:t>
            </w:r>
            <w:r>
              <w:rPr>
                <w:rFonts w:hint="eastAsia" w:ascii="仿宋_GB2312" w:hAnsi="仿宋_GB2312" w:eastAsia="仿宋_GB2312" w:cs="仿宋_GB2312"/>
                <w:color w:val="auto"/>
                <w:kern w:val="0"/>
                <w:sz w:val="20"/>
                <w:szCs w:val="20"/>
                <w:lang w:eastAsia="zh-CN"/>
              </w:rPr>
              <w:t>万元以下罚款：(四)粮食收购者收购粮食，未按照国家有关规定进行质量安全检验，或者对不符合食品安全标准的粮食未作为非食用用途单独储存。</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6</w:t>
            </w:r>
            <w:r>
              <w:rPr>
                <w:rFonts w:hint="eastAsia" w:ascii="仿宋_GB2312" w:hAnsi="仿宋_GB2312" w:eastAsia="仿宋_GB2312" w:cs="仿宋_GB2312"/>
                <w:color w:val="auto"/>
                <w:kern w:val="0"/>
                <w:sz w:val="20"/>
                <w:szCs w:val="20"/>
                <w:lang w:eastAsia="zh-CN"/>
              </w:rPr>
              <w:t>.对从事粮食收购、销售、储存、加工的粮食经营者以及饲料、工业用粮企业未建立粮食经营台账，或者未按照规定报送粮食基本数据和有关情况的处罚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号第三次修订）第四十五条：由粮食和储备行政管理部门责令改正，给予警告，可以并处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万元以下罚款；情节严重的，并处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50</w:t>
            </w:r>
            <w:r>
              <w:rPr>
                <w:rFonts w:hint="eastAsia" w:ascii="仿宋_GB2312" w:hAnsi="仿宋_GB2312" w:eastAsia="仿宋_GB2312" w:cs="仿宋_GB2312"/>
                <w:color w:val="auto"/>
                <w:kern w:val="0"/>
                <w:sz w:val="20"/>
                <w:szCs w:val="20"/>
                <w:lang w:eastAsia="zh-CN"/>
              </w:rPr>
              <w:t>万元以下罚款：(五)从事粮食收购、销售、储存、加工的粮食经营者以及饲料、工业用粮企业未建立粮食经营台账，或者未按照规定报送粮食基本数据和有关情况。</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7</w:t>
            </w:r>
            <w:r>
              <w:rPr>
                <w:rFonts w:hint="eastAsia" w:ascii="仿宋_GB2312" w:hAnsi="仿宋_GB2312" w:eastAsia="仿宋_GB2312" w:cs="仿宋_GB2312"/>
                <w:color w:val="auto"/>
                <w:kern w:val="0"/>
                <w:sz w:val="20"/>
                <w:szCs w:val="20"/>
                <w:lang w:eastAsia="zh-CN"/>
              </w:rPr>
              <w:t>.对粮食储存企业未按照规定进行粮食销售出库质量安全检验的处罚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号第三次修订）第四十五条：由粮食和储备行政管理部门责令改正，给予警告，可以并处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万元以下罚款；情节严重的，并处</w:t>
            </w:r>
            <w:r>
              <w:rPr>
                <w:rFonts w:hint="default" w:ascii="Times New Roman" w:hAnsi="Times New Roman" w:eastAsia="仿宋_GB2312" w:cs="Times New Roman"/>
                <w:color w:val="auto"/>
                <w:kern w:val="0"/>
                <w:sz w:val="20"/>
                <w:szCs w:val="20"/>
                <w:lang w:eastAsia="zh-CN"/>
              </w:rPr>
              <w:t>20</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50</w:t>
            </w:r>
            <w:r>
              <w:rPr>
                <w:rFonts w:hint="eastAsia" w:ascii="仿宋_GB2312" w:hAnsi="仿宋_GB2312" w:eastAsia="仿宋_GB2312" w:cs="仿宋_GB2312"/>
                <w:color w:val="auto"/>
                <w:kern w:val="0"/>
                <w:sz w:val="20"/>
                <w:szCs w:val="20"/>
                <w:lang w:eastAsia="zh-CN"/>
              </w:rPr>
              <w:t>万元以下罚款：(六)粮食储存企业未按照规定进行粮食销售出库质量安全检验。</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8</w:t>
            </w:r>
            <w:r>
              <w:rPr>
                <w:rFonts w:hint="eastAsia" w:ascii="仿宋_GB2312" w:hAnsi="仿宋_GB2312" w:eastAsia="仿宋_GB2312" w:cs="仿宋_GB2312"/>
                <w:color w:val="auto"/>
                <w:kern w:val="0"/>
                <w:sz w:val="20"/>
                <w:szCs w:val="20"/>
                <w:lang w:eastAsia="zh-CN"/>
              </w:rPr>
              <w:t>.对粮食收购者、粮食储存企业未按照规定使用粮食仓储设施、运输工具的处罚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号第三次修订）第四十六条：粮食收购者、粮食储存企业未按照本条例规定使用仓储设施、运输工具的，由粮食和储备行政管理等部门按照职责责令改正，给予警告；被污染的粮食不得非法销售、加工。</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1" w:hRule="atLeast"/>
          <w:jc w:val="center"/>
        </w:trPr>
        <w:tc>
          <w:tcPr>
            <w:tcW w:w="486"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9</w:t>
            </w:r>
            <w:r>
              <w:rPr>
                <w:rFonts w:hint="eastAsia" w:ascii="仿宋_GB2312" w:hAnsi="仿宋_GB2312" w:eastAsia="仿宋_GB2312" w:cs="仿宋_GB2312"/>
                <w:color w:val="auto"/>
                <w:kern w:val="0"/>
                <w:sz w:val="20"/>
                <w:szCs w:val="20"/>
                <w:lang w:eastAsia="zh-CN"/>
              </w:rPr>
              <w:t>.对粮食收购者、粮食储存企业将法律、法规或者国家有关规定不得作为食用用途销售的粮食作为食用用途销售出库的处罚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号第三次修订）第四十七条：粮食收购者、粮食储存企业将下列粮食作为食用用途销售出库的，由粮食和储备行政管理部门没收违法所得；违法销售出库的粮食货值金额不足</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万元的，并处</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万元以下罚款，货值金额</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万元以上的，并处货值金额</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倍以上</w:t>
            </w: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倍以下罚款：(一)真菌毒素、农药残留、重金属等污染物质以及其他危害人体健康的物质含量超过食品安全标准限量的；(二)霉变或者色泽、气味异常的；(三)储存期间使用储粮药剂未满安全间隔期的；(四)被包装材料、容器、运输工具等污染的；(五)其他法律、法规或者国家有关规定明确不得作为食用用途销售的。</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64" w:hRule="atLeast"/>
          <w:jc w:val="center"/>
        </w:trPr>
        <w:tc>
          <w:tcPr>
            <w:tcW w:w="486"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4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15"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10</w:t>
            </w:r>
            <w:r>
              <w:rPr>
                <w:rFonts w:hint="eastAsia" w:ascii="仿宋_GB2312" w:hAnsi="仿宋_GB2312" w:eastAsia="仿宋_GB2312" w:cs="仿宋_GB2312"/>
                <w:color w:val="auto"/>
                <w:kern w:val="0"/>
                <w:sz w:val="20"/>
                <w:szCs w:val="20"/>
                <w:lang w:eastAsia="zh-CN"/>
              </w:rPr>
              <w:t>.对违反政策性粮食经营活动规定行为的处罚</w:t>
            </w: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号第三次修订）第四十九条：从事政策性粮食经营活动，有下列情形之一的，由粮食和储备行政管理部门责令改正，给予警告，没收违法所得，并处</w:t>
            </w:r>
            <w:r>
              <w:rPr>
                <w:rFonts w:hint="default" w:ascii="Times New Roman" w:hAnsi="Times New Roman" w:eastAsia="仿宋_GB2312" w:cs="Times New Roman"/>
                <w:color w:val="auto"/>
                <w:kern w:val="0"/>
                <w:sz w:val="20"/>
                <w:szCs w:val="20"/>
                <w:lang w:eastAsia="zh-CN"/>
              </w:rPr>
              <w:t>50</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200</w:t>
            </w:r>
            <w:r>
              <w:rPr>
                <w:rFonts w:hint="eastAsia" w:ascii="仿宋_GB2312" w:hAnsi="仿宋_GB2312" w:eastAsia="仿宋_GB2312" w:cs="仿宋_GB2312"/>
                <w:color w:val="auto"/>
                <w:kern w:val="0"/>
                <w:sz w:val="20"/>
                <w:szCs w:val="20"/>
                <w:lang w:eastAsia="zh-CN"/>
              </w:rPr>
              <w:t>万元以下罚款；情节严重的，并处</w:t>
            </w:r>
            <w:r>
              <w:rPr>
                <w:rFonts w:hint="default" w:ascii="Times New Roman" w:hAnsi="Times New Roman" w:eastAsia="仿宋_GB2312" w:cs="Times New Roman"/>
                <w:color w:val="auto"/>
                <w:kern w:val="0"/>
                <w:sz w:val="20"/>
                <w:szCs w:val="20"/>
                <w:lang w:eastAsia="zh-CN"/>
              </w:rPr>
              <w:t>200</w:t>
            </w:r>
            <w:r>
              <w:rPr>
                <w:rFonts w:hint="eastAsia" w:ascii="仿宋_GB2312" w:hAnsi="仿宋_GB2312" w:eastAsia="仿宋_GB2312" w:cs="仿宋_GB2312"/>
                <w:color w:val="auto"/>
                <w:kern w:val="0"/>
                <w:sz w:val="20"/>
                <w:szCs w:val="20"/>
                <w:lang w:eastAsia="zh-CN"/>
              </w:rPr>
              <w:t>万元以上</w:t>
            </w:r>
            <w:r>
              <w:rPr>
                <w:rFonts w:hint="default" w:ascii="Times New Roman" w:hAnsi="Times New Roman" w:eastAsia="仿宋_GB2312" w:cs="Times New Roman"/>
                <w:color w:val="auto"/>
                <w:kern w:val="0"/>
                <w:sz w:val="20"/>
                <w:szCs w:val="20"/>
                <w:lang w:eastAsia="zh-CN"/>
              </w:rPr>
              <w:t>500</w:t>
            </w:r>
            <w:r>
              <w:rPr>
                <w:rFonts w:hint="eastAsia" w:ascii="仿宋_GB2312" w:hAnsi="仿宋_GB2312" w:eastAsia="仿宋_GB2312" w:cs="仿宋_GB2312"/>
                <w:color w:val="auto"/>
                <w:kern w:val="0"/>
                <w:sz w:val="20"/>
                <w:szCs w:val="20"/>
                <w:lang w:eastAsia="zh-CN"/>
              </w:rPr>
              <w:t>万元以下罚款：(一)虚报粮食收储数量；(二)通过以陈顶新、以次充好、低收高转、虚假购销、虚假轮换、违规倒卖等方式，套取粮食价差和财政补贴，骗取信贷资金；(三)挤占、挪用、克扣财政补贴、信贷资金；(四)以政策性粮食为债务作担保或者清偿债务；(五)利用政策性粮食进行除政府委托的政策性任务以外的其他商业经营；(六)在政策性粮食出库时掺杂使假、以次充好、调换标的物，拒不执行出库指令或者阻挠出库；(七)购买国家限定用途的政策性粮食，违规倒卖或者不按照规定用途处置；(八)擅自动用政策性粮食；(九)其他违反国家政策性粮食经营管理规定的行为。粮食应急预案启动后，不按照国家要求承担应急任务，不服从国家的统一安排和调度的，依照前款规定予以处罚。</w:t>
            </w:r>
          </w:p>
        </w:tc>
        <w:tc>
          <w:tcPr>
            <w:tcW w:w="2348"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38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2306"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4264" w:type="dxa"/>
            <w:vMerge w:val="continue"/>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p>
        </w:tc>
        <w:tc>
          <w:tcPr>
            <w:tcW w:w="960" w:type="dxa"/>
            <w:vMerge w:val="continue"/>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75" w:type="dxa"/>
            <w:vMerge w:val="continue"/>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64" w:hRule="atLeast"/>
          <w:jc w:val="center"/>
        </w:trPr>
        <w:tc>
          <w:tcPr>
            <w:tcW w:w="486" w:type="dxa"/>
            <w:tcBorders>
              <w:tl2br w:val="nil"/>
              <w:tr2bl w:val="nil"/>
            </w:tcBorders>
            <w:vAlign w:val="center"/>
          </w:tcPr>
          <w:p>
            <w:pPr>
              <w:widowControl/>
              <w:adjustRightInd w:val="0"/>
              <w:snapToGrid w:val="0"/>
              <w:spacing w:line="296"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11</w:t>
            </w:r>
          </w:p>
        </w:tc>
        <w:tc>
          <w:tcPr>
            <w:tcW w:w="645" w:type="dxa"/>
            <w:tcBorders>
              <w:tl2br w:val="nil"/>
              <w:tr2bl w:val="nil"/>
            </w:tcBorders>
            <w:vAlign w:val="center"/>
          </w:tcPr>
          <w:p>
            <w:pPr>
              <w:widowControl/>
              <w:adjustRightInd w:val="0"/>
              <w:snapToGrid w:val="0"/>
              <w:spacing w:line="240" w:lineRule="auto"/>
              <w:jc w:val="center"/>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615" w:type="dxa"/>
            <w:tcBorders>
              <w:tl2br w:val="nil"/>
              <w:tr2bl w:val="nil"/>
            </w:tcBorders>
            <w:vAlign w:val="center"/>
          </w:tcPr>
          <w:p>
            <w:pPr>
              <w:widowControl/>
              <w:adjustRightInd w:val="0"/>
              <w:snapToGrid w:val="0"/>
              <w:spacing w:line="240" w:lineRule="auto"/>
              <w:jc w:val="both"/>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各级财政资金计划下达、项目实施和投资政策执行情况监督检查</w:t>
            </w: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.【部门规章】《中央预算内直接投资项目管理办法》（</w:t>
            </w:r>
            <w:r>
              <w:rPr>
                <w:rFonts w:hint="default" w:ascii="Times New Roman" w:hAnsi="Times New Roman" w:eastAsia="仿宋_GB2312" w:cs="Times New Roman"/>
                <w:color w:val="auto"/>
                <w:kern w:val="0"/>
                <w:sz w:val="20"/>
                <w:szCs w:val="20"/>
                <w:lang w:val="en-US" w:eastAsia="zh-CN"/>
              </w:rPr>
              <w:t>2014</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号）第三十三条：发展改革、财政、审计、监察和其它有关部门，依据职能分工，对直接投资项目进行监督检查。</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.【部门规章】《中央预算内投资补助和贴息项目管理办法》（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年国家发展和改革委令第</w:t>
            </w:r>
            <w:r>
              <w:rPr>
                <w:rFonts w:hint="default" w:ascii="Times New Roman" w:hAnsi="Times New Roman" w:eastAsia="仿宋_GB2312" w:cs="Times New Roman"/>
                <w:color w:val="auto"/>
                <w:kern w:val="0"/>
                <w:sz w:val="20"/>
                <w:szCs w:val="20"/>
                <w:lang w:val="en-US" w:eastAsia="zh-CN"/>
              </w:rPr>
              <w:t>45</w:t>
            </w:r>
            <w:r>
              <w:rPr>
                <w:rFonts w:hint="eastAsia" w:ascii="仿宋_GB2312" w:hAnsi="仿宋_GB2312" w:eastAsia="仿宋_GB2312" w:cs="仿宋_GB2312"/>
                <w:color w:val="auto"/>
                <w:kern w:val="0"/>
                <w:sz w:val="20"/>
                <w:szCs w:val="20"/>
                <w:lang w:val="en-US" w:eastAsia="zh-CN"/>
              </w:rPr>
              <w:t>号）第二十三条：各级发展改革部门应当会同有关部门，依据职责分工，利用在线平台，对使用投资补助和贴息资金的项目加强监管，防止转移、侵占或者挪用投资补助和贴息资金，保证政府投资资金的合理使用和项目顺利建设实施。</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.【规范性文件】《中央预算内投资监督管理暂行办法》（发改投资〔</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525</w:t>
            </w:r>
            <w:r>
              <w:rPr>
                <w:rFonts w:hint="eastAsia" w:ascii="仿宋_GB2312" w:hAnsi="仿宋_GB2312" w:eastAsia="仿宋_GB2312" w:cs="仿宋_GB2312"/>
                <w:color w:val="auto"/>
                <w:kern w:val="0"/>
                <w:sz w:val="20"/>
                <w:szCs w:val="20"/>
                <w:lang w:val="en-US" w:eastAsia="zh-CN"/>
              </w:rPr>
              <w:t>号）第十二条： 落实中央预算内投资监管分级负责的要求。安排下达中央预算内投资年度计划时，应当明确有关省级发展改革部门、中央部门、计划单列企业集团、中央管理企业的监管主体责任，提出监管重点、监管方式、奖惩措施等内容，督促其切实履行好监管职责。</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.【规范性文件】《广西壮族自治区人民政府办公厅关于进一步加强中央预算内投资管理的若干意见》（桂政办发（</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35</w:t>
            </w:r>
            <w:r>
              <w:rPr>
                <w:rFonts w:hint="eastAsia" w:ascii="仿宋_GB2312" w:hAnsi="仿宋_GB2312" w:eastAsia="仿宋_GB2312" w:cs="仿宋_GB2312"/>
                <w:color w:val="auto"/>
                <w:kern w:val="0"/>
                <w:sz w:val="20"/>
                <w:szCs w:val="20"/>
                <w:lang w:val="en-US" w:eastAsia="zh-CN"/>
              </w:rPr>
              <w:t>号）：强化项目稽察和督查。……全区各级督查、发展改革、财政和行业主管部门要单独或联合对中央预算内投资项目开展督查。……</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.告知责任：印发检查通知，制定检查方案，内容包括检查范围、内容、方式、时间及迎接稽察材料准备要求等。</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检查责任：根据检查方案，组成检查组，依据国家、自治区、市级相关标准规范及要求，通过听取汇报、查阅项目材料、实地考察项目现场等方式，对项目建设及资金计划执行情况进行检查，形成检查情况报告。</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处理责任：对检查中发现的问题，及时提出整改要求；情节较轻的，责令其限期整改、暂停项目建设或者暂停投资安排；情节严重的，则根据《中央预算内直接投资项目管理办法》、《中央预算内投资补助和贴息项目管理办法》等相关法律法规，提请或者移交有关机关依法追究有关责任人的行政或者法律责任。被检查单位对检查结果有异议的，可向承检单位提出书面意见，否则视为承认检查结果。承检单位收到被检查单位和个人的书面意见后，应当作出书面答复，并依申请对整改项目进行复查。</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.监管责任：依法加强对市级各类财政资金投资项目计划编制、实施情况和投资政策执行情况监督检查的监管。</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w:t>
            </w:r>
            <w:r>
              <w:rPr>
                <w:rFonts w:hint="eastAsia" w:ascii="仿宋_GB2312" w:hAnsi="仿宋_GB2312" w:eastAsia="仿宋_GB2312" w:cs="仿宋_GB2312"/>
                <w:color w:val="auto"/>
                <w:kern w:val="0"/>
                <w:sz w:val="20"/>
                <w:szCs w:val="20"/>
                <w:lang w:eastAsia="zh-CN"/>
              </w:rPr>
              <w:t>《中华人民共和国行政处罚法(</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修订)》第五十五条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.【部门规章】《中央预算内直接投资项目管理办法》（</w:t>
            </w:r>
            <w:r>
              <w:rPr>
                <w:rFonts w:hint="default" w:ascii="Times New Roman" w:hAnsi="Times New Roman" w:eastAsia="仿宋_GB2312" w:cs="Times New Roman"/>
                <w:color w:val="auto"/>
                <w:kern w:val="0"/>
                <w:sz w:val="20"/>
                <w:szCs w:val="20"/>
                <w:lang w:val="en-US" w:eastAsia="zh-CN"/>
              </w:rPr>
              <w:t>2014</w:t>
            </w:r>
            <w:r>
              <w:rPr>
                <w:rFonts w:hint="eastAsia" w:ascii="仿宋_GB2312" w:hAnsi="仿宋_GB2312" w:eastAsia="仿宋_GB2312" w:cs="仿宋_GB2312"/>
                <w:color w:val="auto"/>
                <w:kern w:val="0"/>
                <w:sz w:val="20"/>
                <w:szCs w:val="20"/>
                <w:lang w:val="en-US" w:eastAsia="zh-CN"/>
              </w:rPr>
              <w:t>年国家发展和改革委员会令第</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号）第三十三条：发展改革、财政、审计、监察和其它有关部门，依据职能分工，对直接投资项目进行监督检查。</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.【部门规章】《中央预算内投资补助和贴息项目管理办法》（</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年国家发展和改革委令第</w:t>
            </w:r>
            <w:r>
              <w:rPr>
                <w:rFonts w:hint="default" w:ascii="Times New Roman" w:hAnsi="Times New Roman" w:eastAsia="仿宋_GB2312" w:cs="Times New Roman"/>
                <w:color w:val="auto"/>
                <w:kern w:val="0"/>
                <w:sz w:val="20"/>
                <w:szCs w:val="20"/>
                <w:lang w:val="en-US" w:eastAsia="zh-CN"/>
              </w:rPr>
              <w:t>45</w:t>
            </w:r>
            <w:r>
              <w:rPr>
                <w:rFonts w:hint="eastAsia" w:ascii="仿宋_GB2312" w:hAnsi="仿宋_GB2312" w:eastAsia="仿宋_GB2312" w:cs="仿宋_GB2312"/>
                <w:color w:val="auto"/>
                <w:kern w:val="0"/>
                <w:sz w:val="20"/>
                <w:szCs w:val="20"/>
                <w:lang w:val="en-US" w:eastAsia="zh-CN"/>
              </w:rPr>
              <w:t>号）第二十三条：各级发展改革部门应当会同有关部门，依据职责分工，利用在线平台，对使用投资补助和贴息资金的项目加强监管，防止转移、侵占或者挪用投资补助和贴息资金，保证政府投资资金的合理使用和项目顺利建设实施。</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.【规范性文件】《中央预算内投资监督管理暂行办法》（发改投资〔</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525</w:t>
            </w:r>
            <w:r>
              <w:rPr>
                <w:rFonts w:hint="eastAsia" w:ascii="仿宋_GB2312" w:hAnsi="仿宋_GB2312" w:eastAsia="仿宋_GB2312" w:cs="仿宋_GB2312"/>
                <w:color w:val="auto"/>
                <w:kern w:val="0"/>
                <w:sz w:val="20"/>
                <w:szCs w:val="20"/>
                <w:lang w:val="en-US" w:eastAsia="zh-CN"/>
              </w:rPr>
              <w:t>号）第十二条： 落实中央预算内投资监管分级负责的要求。安排下达中央预算内投资年度计划时，应当明确有关省级发展改革部门、中央部门、计划单列企业集团、中央管理企业的监管主体责任，提出监管重点、监管方式、奖惩措施等内容，督促其切实履行好监管职责。</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.未依据职能分工，对直接投资项目进行监督检查。</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.对单位、个人对直接投资项目在审批、建设过程中违法违规行为的投诉和举报，未按照有关规定进行查处</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 xml:space="preserve">.【部门规章】《中央预算内直接投资项目管理办法》（中华人民共和国国家发展和改革委员会令　第 </w:t>
            </w:r>
            <w:r>
              <w:rPr>
                <w:rFonts w:hint="default" w:ascii="Times New Roman" w:hAnsi="Times New Roman" w:eastAsia="仿宋_GB2312" w:cs="Times New Roman"/>
                <w:color w:val="auto"/>
                <w:kern w:val="0"/>
                <w:sz w:val="20"/>
                <w:szCs w:val="20"/>
              </w:rPr>
              <w:t>7</w:t>
            </w:r>
            <w:r>
              <w:rPr>
                <w:rFonts w:hint="eastAsia" w:ascii="仿宋_GB2312" w:hAnsi="仿宋_GB2312" w:eastAsia="仿宋_GB2312" w:cs="仿宋_GB2312"/>
                <w:color w:val="auto"/>
                <w:kern w:val="0"/>
                <w:sz w:val="20"/>
                <w:szCs w:val="20"/>
              </w:rPr>
              <w:t xml:space="preserve"> 号）第三十三条 发展改革、财政、审计、监察和其它有关部门，依据职能分工，对直接投资项目进行监督检查。第三十四条 国家发展改革委和有关部门应当依法接受单位、个人对直接投资项目在审批、建设过程中违法违规行为的投诉和举报，并按照有关规定进行查处。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.【部门规章】《中央预算内投资补助和贴息项目管理办法》（国家发展和改革委令第</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号）第二十</w:t>
            </w:r>
            <w:r>
              <w:rPr>
                <w:rFonts w:hint="eastAsia" w:ascii="仿宋_GB2312" w:hAnsi="仿宋_GB2312" w:eastAsia="仿宋_GB2312" w:cs="仿宋_GB2312"/>
                <w:color w:val="auto"/>
                <w:kern w:val="0"/>
                <w:sz w:val="20"/>
                <w:szCs w:val="20"/>
                <w:lang w:eastAsia="zh-CN"/>
              </w:rPr>
              <w:t>五</w:t>
            </w:r>
            <w:r>
              <w:rPr>
                <w:rFonts w:hint="eastAsia" w:ascii="仿宋_GB2312" w:hAnsi="仿宋_GB2312" w:eastAsia="仿宋_GB2312" w:cs="仿宋_GB2312"/>
                <w:color w:val="auto"/>
                <w:kern w:val="0"/>
                <w:sz w:val="20"/>
                <w:szCs w:val="20"/>
              </w:rPr>
              <w:t>条 各级发展改革部门、中央管理企业和项目单位应当自觉接受审计、监察、财政等部门依据职能分工进行的监督检查。</w:t>
            </w:r>
          </w:p>
        </w:tc>
        <w:tc>
          <w:tcPr>
            <w:tcW w:w="96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64" w:hRule="atLeast"/>
          <w:jc w:val="center"/>
        </w:trPr>
        <w:tc>
          <w:tcPr>
            <w:tcW w:w="486" w:type="dxa"/>
            <w:tcBorders>
              <w:tl2br w:val="nil"/>
              <w:tr2bl w:val="nil"/>
            </w:tcBorders>
            <w:vAlign w:val="center"/>
          </w:tcPr>
          <w:p>
            <w:pPr>
              <w:widowControl/>
              <w:adjustRightInd w:val="0"/>
              <w:snapToGrid w:val="0"/>
              <w:spacing w:line="296"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12</w:t>
            </w:r>
          </w:p>
        </w:tc>
        <w:tc>
          <w:tcPr>
            <w:tcW w:w="645" w:type="dxa"/>
            <w:tcBorders>
              <w:tl2br w:val="nil"/>
              <w:tr2bl w:val="nil"/>
            </w:tcBorders>
            <w:vAlign w:val="center"/>
          </w:tcPr>
          <w:p>
            <w:pPr>
              <w:widowControl/>
              <w:adjustRightInd w:val="0"/>
              <w:snapToGrid w:val="0"/>
              <w:spacing w:line="240" w:lineRule="auto"/>
              <w:jc w:val="center"/>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行政检查</w:t>
            </w:r>
          </w:p>
        </w:tc>
        <w:tc>
          <w:tcPr>
            <w:tcW w:w="615" w:type="dxa"/>
            <w:tcBorders>
              <w:tl2br w:val="nil"/>
              <w:tr2bl w:val="nil"/>
            </w:tcBorders>
            <w:vAlign w:val="center"/>
          </w:tcPr>
          <w:p>
            <w:pPr>
              <w:widowControl/>
              <w:adjustRightInd w:val="0"/>
              <w:snapToGrid w:val="0"/>
              <w:spacing w:line="240" w:lineRule="auto"/>
              <w:jc w:val="both"/>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节能执法检查</w:t>
            </w: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【法律】《中华人民共和国节约能源法》第十一</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国务院和县级以上地方各级人民政府应当加强对节能工作的领导，部署、协调、监督、检查、推动节能工作。第十二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县级以上人民政府管理节能工作的部门和有关部门应当在各自的职责范围内，加强对节能法律、法规和节能标准执行情况的监督检查，依法查处违法用能行为。</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.告知责任：制定检查计划，将检查人员及检查依据、内容、时间、要求等告知被检查单位。</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.检查责任：监督检查被监察单位执行节能法律、法规、规章和强制性节能标准的情况，督促被监察单位依法用能、合理用能，依法处理违法违规行为；</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.处理责任：受理对违法违规用能行为的举报和投诉，办理其他行政执法单位依法移送或者政府有关部门交办的违法违规用能案件；</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.监管责任：协助政府管理节能工作的部门和有关部门开展其他节能监督管理工作；</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.其他责任：节能法律、法规、规章和规范性文件规定的其他工作责任。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.【法律】《中华人民共和国节约能源法》第十二</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县级以上人民政府管理节能工作的部门和有关部门应当在各自的职责范围内，加强对节能法律、法规和节能标准执行情况的监督检查，依法查处违法用能行为。</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.【法律】《中华人民共和国节约能源法》第六十八</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.【部门规章】《节能监察办法》（</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年国家发展和改革委员会第</w:t>
            </w:r>
            <w:r>
              <w:rPr>
                <w:rFonts w:hint="default" w:ascii="Times New Roman" w:hAnsi="Times New Roman" w:eastAsia="仿宋_GB2312" w:cs="Times New Roman"/>
                <w:color w:val="auto"/>
                <w:kern w:val="0"/>
                <w:sz w:val="20"/>
                <w:szCs w:val="20"/>
              </w:rPr>
              <w:t>33</w:t>
            </w:r>
            <w:r>
              <w:rPr>
                <w:rFonts w:hint="eastAsia" w:ascii="仿宋_GB2312" w:hAnsi="仿宋_GB2312" w:eastAsia="仿宋_GB2312" w:cs="仿宋_GB2312"/>
                <w:color w:val="auto"/>
                <w:kern w:val="0"/>
                <w:sz w:val="20"/>
                <w:szCs w:val="20"/>
              </w:rPr>
              <w:t>号令）第十三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 xml:space="preserve">节能监察分为书面监察和现场监察。实施书面监察，应当将实施监察的依据、内容、时间和要求书面通知被监察单位。实施现场监察，应当于实施监察的五日前将监察的依据、内容、时间和要求书面通知被监察单位。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第十六</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现场监察应当有两名以上节能监察人员在场。</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.【部门规章】《节能监察办法》（</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年国家发展和改革委员会第</w:t>
            </w:r>
            <w:r>
              <w:rPr>
                <w:rFonts w:hint="default" w:ascii="Times New Roman" w:hAnsi="Times New Roman" w:eastAsia="仿宋_GB2312" w:cs="Times New Roman"/>
                <w:color w:val="auto"/>
                <w:kern w:val="0"/>
                <w:sz w:val="20"/>
                <w:szCs w:val="20"/>
              </w:rPr>
              <w:t>33</w:t>
            </w:r>
            <w:r>
              <w:rPr>
                <w:rFonts w:hint="eastAsia" w:ascii="仿宋_GB2312" w:hAnsi="仿宋_GB2312" w:eastAsia="仿宋_GB2312" w:cs="仿宋_GB2312"/>
                <w:color w:val="auto"/>
                <w:kern w:val="0"/>
                <w:sz w:val="20"/>
                <w:szCs w:val="20"/>
              </w:rPr>
              <w:t>号令）第六</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节能监察机构应当开展下列工作：（三）协助政府管理节能工作的部门和有关部门开展其他节能监督管理工作。</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.【部门规章】《节能监察办法》（</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年国家发展和改革委员会第</w:t>
            </w:r>
            <w:r>
              <w:rPr>
                <w:rFonts w:hint="default" w:ascii="Times New Roman" w:hAnsi="Times New Roman" w:eastAsia="仿宋_GB2312" w:cs="Times New Roman"/>
                <w:color w:val="auto"/>
                <w:kern w:val="0"/>
                <w:sz w:val="20"/>
                <w:szCs w:val="20"/>
              </w:rPr>
              <w:t>33</w:t>
            </w:r>
            <w:r>
              <w:rPr>
                <w:rFonts w:hint="eastAsia" w:ascii="仿宋_GB2312" w:hAnsi="仿宋_GB2312" w:eastAsia="仿宋_GB2312" w:cs="仿宋_GB2312"/>
                <w:color w:val="auto"/>
                <w:kern w:val="0"/>
                <w:sz w:val="20"/>
                <w:szCs w:val="20"/>
              </w:rPr>
              <w:t>号令）第六</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节能监察机构应当开展下列工作：（四）节能法律、法规、规章和规范性文件规定的其他工作。</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.泄露被监察单位的技术秘密和商业秘密的；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.利用职务之便非法谋取利益的；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.实施节能监察时向被监察单位收费或者变相收费的；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.妨碍被许可人正常的生产经营活动，不索取或者收受被许可人的财物，谋取其他利益的。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.其他违法违规行为。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.【行政法规】《节能监察办法》(国家发展改革委</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年第</w:t>
            </w:r>
            <w:r>
              <w:rPr>
                <w:rFonts w:hint="default" w:ascii="Times New Roman" w:hAnsi="Times New Roman" w:eastAsia="仿宋_GB2312" w:cs="Times New Roman"/>
                <w:color w:val="auto"/>
                <w:kern w:val="0"/>
                <w:sz w:val="20"/>
                <w:szCs w:val="20"/>
              </w:rPr>
              <w:t>33</w:t>
            </w:r>
            <w:r>
              <w:rPr>
                <w:rFonts w:hint="eastAsia" w:ascii="仿宋_GB2312" w:hAnsi="仿宋_GB2312" w:eastAsia="仿宋_GB2312" w:cs="仿宋_GB2312"/>
                <w:color w:val="auto"/>
                <w:kern w:val="0"/>
                <w:sz w:val="20"/>
                <w:szCs w:val="20"/>
              </w:rPr>
              <w:t>号令，</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日起施行）第二十五条 节能监察机构实施节能监察有违法违规行为的，被监察单位有权向本级人民政府管理节能监察机构的机构或者上一级节能监察机构投诉。节能监察人员滥用职权、玩忽职守、徇私舞弊，有下列情形之一的，由有管理权限的机构依法给予处分；构成犯罪的，依法追究刑事责任：（一）泄露被监察单位的技术秘密和商业秘密的；（二）利用职务之便非法谋取利益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【法律】《中华人民共和国节约能源法》 第二章第十二条 履行节能监督管理职责不得向监督管理对象收取费用。</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【行政法规】《节能监察办法》(国家发展改革委</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年第</w:t>
            </w:r>
            <w:r>
              <w:rPr>
                <w:rFonts w:hint="default" w:ascii="Times New Roman" w:hAnsi="Times New Roman" w:eastAsia="仿宋_GB2312" w:cs="Times New Roman"/>
                <w:color w:val="auto"/>
                <w:kern w:val="0"/>
                <w:sz w:val="20"/>
                <w:szCs w:val="20"/>
              </w:rPr>
              <w:t>33</w:t>
            </w:r>
            <w:r>
              <w:rPr>
                <w:rFonts w:hint="eastAsia" w:ascii="仿宋_GB2312" w:hAnsi="仿宋_GB2312" w:eastAsia="仿宋_GB2312" w:cs="仿宋_GB2312"/>
                <w:color w:val="auto"/>
                <w:kern w:val="0"/>
                <w:sz w:val="20"/>
                <w:szCs w:val="20"/>
              </w:rPr>
              <w:t>号令，</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日起施行）第二十五条 节能监察机构实施节能监察有违法违规行为的，被监察单位有权向本级人民政府管理节能监察机构的机构或者上一级节能监察机构投诉。节能监察人员滥用职权、玩忽职守、徇私舞弊，有下列情形之一的，由有管理权限的机构依法给予处分；构成犯罪的，依法追究刑事责任：（三）实施节能监察时向被监察单位收费或者变相收费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.【法律】《中华人民共和国行政许可法》（</w:t>
            </w:r>
            <w:r>
              <w:rPr>
                <w:rFonts w:hint="default" w:ascii="Times New Roman" w:hAnsi="Times New Roman" w:eastAsia="仿宋_GB2312" w:cs="Times New Roman"/>
                <w:color w:val="auto"/>
                <w:kern w:val="0"/>
                <w:sz w:val="20"/>
                <w:szCs w:val="20"/>
              </w:rPr>
              <w:t>2003</w:t>
            </w:r>
            <w:r>
              <w:rPr>
                <w:rFonts w:hint="eastAsia" w:ascii="仿宋_GB2312" w:hAnsi="仿宋_GB2312" w:eastAsia="仿宋_GB2312" w:cs="仿宋_GB2312"/>
                <w:color w:val="auto"/>
                <w:kern w:val="0"/>
                <w:sz w:val="20"/>
                <w:szCs w:val="20"/>
              </w:rPr>
              <w:t>年主席令第七号公布）《第六十三条  行政机关实施监督检查，不得妨碍被许可人正常的生产经营活动，不得索取或者收受被许可人的财物，不得谋取其他利益。</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.【法律】《中华人民共和国节约能源法》第八十六条　国家工作人员在节能管理工作中滥用职权、玩忽职守、徇私舞弊，构成犯罪的，依法追究刑事责任；尚不构成犯罪的，依法给予处分。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.【法律】《中华人民共和国公务员法</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val="en-US" w:eastAsia="zh-CN"/>
              </w:rPr>
              <w:t>2018</w:t>
            </w:r>
            <w:r>
              <w:rPr>
                <w:rFonts w:hint="eastAsia" w:ascii="仿宋_GB2312" w:hAnsi="仿宋_GB2312" w:eastAsia="仿宋_GB2312" w:cs="仿宋_GB2312"/>
                <w:color w:val="auto"/>
                <w:kern w:val="0"/>
                <w:sz w:val="20"/>
                <w:szCs w:val="20"/>
                <w:lang w:eastAsia="zh-CN"/>
              </w:rPr>
              <w:t>）</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val="en-US" w:eastAsia="zh-CN"/>
              </w:rPr>
              <w:t>第五十九条　公务员应当遵纪守法，不得有下列行为：(十八)违纪违法的其他行为。</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.【行政法规】《节能监察办法》(国家发展改革委</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年第</w:t>
            </w:r>
            <w:r>
              <w:rPr>
                <w:rFonts w:hint="default" w:ascii="Times New Roman" w:hAnsi="Times New Roman" w:eastAsia="仿宋_GB2312" w:cs="Times New Roman"/>
                <w:color w:val="auto"/>
                <w:kern w:val="0"/>
                <w:sz w:val="20"/>
                <w:szCs w:val="20"/>
              </w:rPr>
              <w:t>33</w:t>
            </w:r>
            <w:r>
              <w:rPr>
                <w:rFonts w:hint="eastAsia" w:ascii="仿宋_GB2312" w:hAnsi="仿宋_GB2312" w:eastAsia="仿宋_GB2312" w:cs="仿宋_GB2312"/>
                <w:color w:val="auto"/>
                <w:kern w:val="0"/>
                <w:sz w:val="20"/>
                <w:szCs w:val="20"/>
              </w:rPr>
              <w:t>号令，</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日起施行）第二十五条 节能监察机构实施节能监察有违法违规行为的，被监察单位有权向本级人民政府管理节能监察机构的机构或者上一级节能监察机构投诉。节能监察人员滥用职权、玩忽职守、徇私舞弊，有下列情形之一的，由有管理权限的机构依法给予处分；构成犯罪的，依法追究刑事责任：（四）有其他违法违规行为并造成较为严重后果的。</w:t>
            </w:r>
          </w:p>
        </w:tc>
        <w:tc>
          <w:tcPr>
            <w:tcW w:w="96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64" w:hRule="atLeast"/>
          <w:jc w:val="center"/>
        </w:trPr>
        <w:tc>
          <w:tcPr>
            <w:tcW w:w="486" w:type="dxa"/>
            <w:tcBorders>
              <w:tl2br w:val="nil"/>
              <w:tr2bl w:val="nil"/>
            </w:tcBorders>
            <w:vAlign w:val="center"/>
          </w:tcPr>
          <w:p>
            <w:pPr>
              <w:widowControl/>
              <w:adjustRightInd w:val="0"/>
              <w:snapToGrid w:val="0"/>
              <w:spacing w:line="296"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13</w:t>
            </w:r>
          </w:p>
        </w:tc>
        <w:tc>
          <w:tcPr>
            <w:tcW w:w="645" w:type="dxa"/>
            <w:tcBorders>
              <w:tl2br w:val="nil"/>
              <w:tr2bl w:val="nil"/>
            </w:tcBorders>
            <w:vAlign w:val="center"/>
          </w:tcPr>
          <w:p>
            <w:pPr>
              <w:widowControl w:val="0"/>
              <w:wordWrap/>
              <w:adjustRightInd w:val="0"/>
              <w:snapToGrid w:val="0"/>
              <w:spacing w:line="28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行政检查</w:t>
            </w:r>
          </w:p>
        </w:tc>
        <w:tc>
          <w:tcPr>
            <w:tcW w:w="615" w:type="dxa"/>
            <w:tcBorders>
              <w:tl2br w:val="nil"/>
              <w:tr2bl w:val="nil"/>
            </w:tcBorders>
            <w:vAlign w:val="center"/>
          </w:tcPr>
          <w:p>
            <w:pPr>
              <w:widowControl w:val="0"/>
              <w:wordWrap/>
              <w:adjustRightInd w:val="0"/>
              <w:snapToGrid w:val="0"/>
              <w:spacing w:line="280" w:lineRule="exact"/>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对粮食收购企业备案的监督检查</w:t>
            </w: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粮食物资监督管理股</w:t>
            </w:r>
          </w:p>
        </w:tc>
        <w:tc>
          <w:tcPr>
            <w:tcW w:w="4121"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1</w:t>
            </w:r>
            <w:r>
              <w:rPr>
                <w:rFonts w:hint="eastAsia" w:ascii="仿宋_GB2312" w:hAnsi="仿宋_GB2312" w:eastAsia="仿宋_GB2312" w:cs="仿宋_GB2312"/>
                <w:color w:val="auto"/>
                <w:kern w:val="0"/>
                <w:sz w:val="20"/>
                <w:szCs w:val="20"/>
                <w:highlight w:val="none"/>
                <w:lang w:eastAsia="zh-CN"/>
              </w:rPr>
              <w:t>.【行政法规】《粮食流通管理条例》（</w:t>
            </w:r>
            <w:r>
              <w:rPr>
                <w:rFonts w:hint="default" w:ascii="Times New Roman" w:hAnsi="Times New Roman" w:eastAsia="仿宋_GB2312" w:cs="Times New Roman"/>
                <w:color w:val="auto"/>
                <w:kern w:val="0"/>
                <w:sz w:val="20"/>
                <w:szCs w:val="20"/>
                <w:highlight w:val="none"/>
                <w:lang w:eastAsia="zh-CN"/>
              </w:rPr>
              <w:t>2004</w:t>
            </w:r>
            <w:r>
              <w:rPr>
                <w:rFonts w:hint="eastAsia" w:ascii="仿宋_GB2312" w:hAnsi="仿宋_GB2312" w:eastAsia="仿宋_GB2312" w:cs="仿宋_GB2312"/>
                <w:color w:val="auto"/>
                <w:kern w:val="0"/>
                <w:sz w:val="20"/>
                <w:szCs w:val="20"/>
                <w:highlight w:val="none"/>
                <w:lang w:eastAsia="zh-CN"/>
              </w:rPr>
              <w:t>年国务院令第</w:t>
            </w:r>
            <w:r>
              <w:rPr>
                <w:rFonts w:hint="default" w:ascii="Times New Roman" w:hAnsi="Times New Roman" w:eastAsia="仿宋_GB2312" w:cs="Times New Roman"/>
                <w:color w:val="auto"/>
                <w:kern w:val="0"/>
                <w:sz w:val="20"/>
                <w:szCs w:val="20"/>
                <w:highlight w:val="none"/>
                <w:lang w:eastAsia="zh-CN"/>
              </w:rPr>
              <w:t>407</w:t>
            </w:r>
            <w:r>
              <w:rPr>
                <w:rFonts w:hint="eastAsia" w:ascii="仿宋_GB2312" w:hAnsi="仿宋_GB2312" w:eastAsia="仿宋_GB2312" w:cs="仿宋_GB2312"/>
                <w:color w:val="auto"/>
                <w:kern w:val="0"/>
                <w:sz w:val="20"/>
                <w:szCs w:val="20"/>
                <w:highlight w:val="none"/>
                <w:lang w:eastAsia="zh-CN"/>
              </w:rPr>
              <w:t>号公布，</w:t>
            </w:r>
            <w:r>
              <w:rPr>
                <w:rFonts w:hint="default" w:ascii="Times New Roman" w:hAnsi="Times New Roman" w:eastAsia="仿宋_GB2312" w:cs="Times New Roman"/>
                <w:color w:val="auto"/>
                <w:kern w:val="0"/>
                <w:sz w:val="20"/>
                <w:szCs w:val="20"/>
                <w:highlight w:val="none"/>
                <w:lang w:eastAsia="zh-CN"/>
              </w:rPr>
              <w:t>2021</w:t>
            </w:r>
            <w:r>
              <w:rPr>
                <w:rFonts w:hint="eastAsia" w:ascii="仿宋_GB2312" w:hAnsi="仿宋_GB2312" w:eastAsia="仿宋_GB2312" w:cs="仿宋_GB2312"/>
                <w:color w:val="auto"/>
                <w:kern w:val="0"/>
                <w:sz w:val="20"/>
                <w:szCs w:val="20"/>
                <w:highlight w:val="none"/>
                <w:lang w:eastAsia="zh-CN"/>
              </w:rPr>
              <w:t>年国务院令第</w:t>
            </w:r>
            <w:r>
              <w:rPr>
                <w:rFonts w:hint="default" w:ascii="Times New Roman" w:hAnsi="Times New Roman" w:eastAsia="仿宋_GB2312" w:cs="Times New Roman"/>
                <w:color w:val="auto"/>
                <w:kern w:val="0"/>
                <w:sz w:val="20"/>
                <w:szCs w:val="20"/>
                <w:highlight w:val="none"/>
                <w:lang w:eastAsia="zh-CN"/>
              </w:rPr>
              <w:t>740</w:t>
            </w:r>
            <w:r>
              <w:rPr>
                <w:rFonts w:hint="eastAsia" w:ascii="仿宋_GB2312" w:hAnsi="仿宋_GB2312" w:eastAsia="仿宋_GB2312" w:cs="仿宋_GB2312"/>
                <w:color w:val="auto"/>
                <w:kern w:val="0"/>
                <w:sz w:val="20"/>
                <w:szCs w:val="20"/>
                <w:highlight w:val="none"/>
                <w:lang w:eastAsia="zh-CN"/>
              </w:rPr>
              <w:t>号第三次修订）第九条：从事粮食收购的经营者(以下简称粮食收购者)，应当具备与其收购粮食品种、数量相适应的能力。从事粮食收购的企业(以下简称粮食收购企业)，应当向收购地的县级人民政府粮食和储备行政管理部门备案企业名称、地址、负责人以及仓储设施等信息，备案内容发生变化的，应当及时变更备案。县级以上地方人民政府粮食和储备行政管理部门应当加强粮食收购管理和服务，规范粮食收购活动。具体管理办法由省、自治区、直辖市人民政府制定。</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highlight w:val="none"/>
                <w:lang w:eastAsia="zh-CN"/>
              </w:rPr>
              <w:t>2</w:t>
            </w:r>
            <w:r>
              <w:rPr>
                <w:rFonts w:hint="eastAsia" w:ascii="仿宋_GB2312" w:hAnsi="仿宋_GB2312" w:eastAsia="仿宋_GB2312" w:cs="仿宋_GB2312"/>
                <w:color w:val="auto"/>
                <w:kern w:val="0"/>
                <w:sz w:val="20"/>
                <w:szCs w:val="20"/>
                <w:highlight w:val="none"/>
                <w:lang w:eastAsia="zh-CN"/>
              </w:rPr>
              <w:t>.【规范性文件】《广西壮族自治区粮食收购企业备案管理办法》（桂政发〔</w:t>
            </w:r>
            <w:r>
              <w:rPr>
                <w:rFonts w:hint="default" w:ascii="Times New Roman" w:hAnsi="Times New Roman" w:eastAsia="仿宋_GB2312" w:cs="Times New Roman"/>
                <w:color w:val="auto"/>
                <w:kern w:val="0"/>
                <w:sz w:val="20"/>
                <w:szCs w:val="20"/>
                <w:highlight w:val="none"/>
                <w:lang w:eastAsia="zh-CN"/>
              </w:rPr>
              <w:t>2021</w:t>
            </w:r>
            <w:r>
              <w:rPr>
                <w:rFonts w:hint="eastAsia" w:ascii="仿宋_GB2312" w:hAnsi="仿宋_GB2312" w:eastAsia="仿宋_GB2312" w:cs="仿宋_GB2312"/>
                <w:color w:val="auto"/>
                <w:kern w:val="0"/>
                <w:sz w:val="20"/>
                <w:szCs w:val="20"/>
                <w:highlight w:val="none"/>
                <w:lang w:eastAsia="zh-CN"/>
              </w:rPr>
              <w:t>〕</w:t>
            </w:r>
            <w:r>
              <w:rPr>
                <w:rFonts w:hint="default" w:ascii="Times New Roman" w:hAnsi="Times New Roman" w:eastAsia="仿宋_GB2312" w:cs="Times New Roman"/>
                <w:color w:val="auto"/>
                <w:kern w:val="0"/>
                <w:sz w:val="20"/>
                <w:szCs w:val="20"/>
                <w:highlight w:val="none"/>
                <w:lang w:eastAsia="zh-CN"/>
              </w:rPr>
              <w:t>31</w:t>
            </w:r>
            <w:r>
              <w:rPr>
                <w:rFonts w:hint="eastAsia" w:ascii="仿宋_GB2312" w:hAnsi="仿宋_GB2312" w:eastAsia="仿宋_GB2312" w:cs="仿宋_GB2312"/>
                <w:color w:val="auto"/>
                <w:kern w:val="0"/>
                <w:sz w:val="20"/>
                <w:szCs w:val="20"/>
                <w:highlight w:val="none"/>
                <w:lang w:eastAsia="zh-CN"/>
              </w:rPr>
              <w:t>号）第九条：广西辖区内县级以上粮食和储备行政管理部门在监督检查过程中,可以进入粮食收购企业经营场所,查阅有关资料、凭证,检查企业收购备案相关信息。</w:t>
            </w:r>
          </w:p>
        </w:tc>
        <w:tc>
          <w:tcPr>
            <w:tcW w:w="2348"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.受理责任：县级人民政府粮食和储备行政管理部门收到粮食收购企业的备案材料后,符合本办法规定的应及时办理备案手续;</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.审查责任：表格填写不完整的,应按规定一次性告知需补充完善内容。</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.决定责任：粮食收购企业的备案材料完整的，不得作出不予备案的决定。办理备案和变更备案,不得收取费用。</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.其他法律法规规章文件规定应履行的责任。</w:t>
            </w:r>
          </w:p>
        </w:tc>
        <w:tc>
          <w:tcPr>
            <w:tcW w:w="3806"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九条：从事粮食收购的经营者(以下简称粮食收购者)，应当具备与其收购粮食品种、数量相适应的能力。从事粮食收购的企业(以下简称粮食收购企业)，应当向收购地的县级人民政府粮食和储备行政管理部门备案企业名称、地址、负责人以及仓储设施等信息，备案内容发生变化的，应当及时变更备案。县级以上地方人民政府粮食和储备行政管理部门应当加强粮食收购管理和服务，规范粮食收购活动。具体管理办法由省、自治区、直辖市人民政府制定。</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.【地方政府规章】《广西壮族自治区粮食收购企业备案管理办法》（桂政发〔</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31</w:t>
            </w:r>
            <w:r>
              <w:rPr>
                <w:rFonts w:hint="eastAsia" w:ascii="仿宋_GB2312" w:hAnsi="仿宋_GB2312" w:eastAsia="仿宋_GB2312" w:cs="仿宋_GB2312"/>
                <w:color w:val="auto"/>
                <w:kern w:val="0"/>
                <w:sz w:val="20"/>
                <w:szCs w:val="20"/>
                <w:lang w:eastAsia="zh-CN"/>
              </w:rPr>
              <w:t>号）第九条：广西辖区内县级以上粮食和储备行政管理部门在监督检查过程中,可以进入粮食收购企业经营场所,查阅有关资料、凭证,检查企业收购备案相关信息。</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eastAsia="zh-CN"/>
              </w:rPr>
              <w:t>第十二条：主要监管以下内容：(一)粮食收购企业是否按规定备案；(二)备案信息是否真实；(三)备案内容是否发生变化,是否及时更新；(四)是否定期报告粮食收购品种和数量等有关情况。</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因不履行或不正确履行行政职责，有下列情形的行政机关及相关工作人员应承担相应的责任：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 不履行或不正确履行行政职责，对造成或即将造成自治区储备粮数量、质量和储存不符合要求的行为不予制止和有效处理的；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.在监督检查中玩忽职守、徇私舞弊的；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.在监督检查中滥用职权，谋取不正当利益和发生腐败行为的；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bidi="ar-SA"/>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.除以上追责情形外，其他违反法律法规规章的行为依法追究相应责任。</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.【地方规章】《广西壮族自治区储备粮管理办法》 （</w:t>
            </w:r>
            <w:r>
              <w:rPr>
                <w:rFonts w:hint="default" w:ascii="Times New Roman" w:hAnsi="Times New Roman" w:eastAsia="仿宋_GB2312" w:cs="Times New Roman"/>
                <w:color w:val="auto"/>
                <w:kern w:val="0"/>
                <w:sz w:val="20"/>
                <w:szCs w:val="20"/>
                <w:lang w:eastAsia="zh-CN"/>
              </w:rPr>
              <w:t>200</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13</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w:t>
            </w:r>
            <w:r>
              <w:rPr>
                <w:rFonts w:hint="default" w:ascii="Times New Roman" w:hAnsi="Times New Roman" w:eastAsia="仿宋_GB2312" w:cs="Times New Roman"/>
                <w:color w:val="auto"/>
                <w:kern w:val="0"/>
                <w:sz w:val="20"/>
                <w:szCs w:val="20"/>
                <w:lang w:val="en-US" w:eastAsia="zh-CN"/>
              </w:rPr>
              <w:t>18</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128</w:t>
            </w:r>
            <w:r>
              <w:rPr>
                <w:rFonts w:hint="eastAsia" w:ascii="仿宋_GB2312" w:hAnsi="仿宋_GB2312" w:eastAsia="仿宋_GB2312" w:cs="仿宋_GB2312"/>
                <w:color w:val="auto"/>
                <w:kern w:val="0"/>
                <w:sz w:val="20"/>
                <w:szCs w:val="20"/>
                <w:lang w:eastAsia="zh-CN"/>
              </w:rPr>
              <w:t>号第二次修正）第四十一条：行政机关工作人员违反本办法规定，有下列行为之一的，给予警告直至开除的行政处分；构成犯罪的，依法追究刑事责任：（一）不及时下达自治区储备粮收购、销售和年度轮换计划的；（二）给予不具备代储条件的企业代储自治区储备粮资格，或者发现取得代储资格的企业不再具备代储条件又未按照规定取消其代储资格的；（三）发现承储企业存在不适合储存自治区储备粮的情况，未按照规定责令其限期整改的；（四）接到举报或者发现违法行为不及时查处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.【行政法规】《行政机关公务员处分条例》（国务院令第</w:t>
            </w:r>
            <w:r>
              <w:rPr>
                <w:rFonts w:hint="default" w:ascii="Times New Roman" w:hAnsi="Times New Roman" w:eastAsia="仿宋_GB2312" w:cs="Times New Roman"/>
                <w:color w:val="auto"/>
                <w:kern w:val="0"/>
                <w:sz w:val="20"/>
                <w:szCs w:val="20"/>
                <w:lang w:eastAsia="zh-CN"/>
              </w:rPr>
              <w:t>495</w:t>
            </w:r>
            <w:r>
              <w:rPr>
                <w:rFonts w:hint="eastAsia" w:ascii="仿宋_GB2312" w:hAnsi="仿宋_GB2312" w:eastAsia="仿宋_GB2312" w:cs="仿宋_GB2312"/>
                <w:color w:val="auto"/>
                <w:kern w:val="0"/>
                <w:sz w:val="20"/>
                <w:szCs w:val="20"/>
                <w:lang w:eastAsia="zh-CN"/>
              </w:rPr>
              <w:t>号）第二十条有下列行为之一的，给予记过、记大过处分；情节较重的，给予降级或者撤职处分；情节严重的，给予开除处分：（四）其他玩忽职守、贻误工作的行为。</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.【行政法规】《行政机关公务员处分条例》（国务院令第</w:t>
            </w:r>
            <w:r>
              <w:rPr>
                <w:rFonts w:hint="default" w:ascii="Times New Roman" w:hAnsi="Times New Roman" w:eastAsia="仿宋_GB2312" w:cs="Times New Roman"/>
                <w:color w:val="auto"/>
                <w:kern w:val="0"/>
                <w:sz w:val="20"/>
                <w:szCs w:val="20"/>
                <w:lang w:eastAsia="zh-CN"/>
              </w:rPr>
              <w:t>495</w:t>
            </w:r>
            <w:r>
              <w:rPr>
                <w:rFonts w:hint="eastAsia" w:ascii="仿宋_GB2312" w:hAnsi="仿宋_GB2312" w:eastAsia="仿宋_GB2312" w:cs="仿宋_GB2312"/>
                <w:color w:val="auto"/>
                <w:kern w:val="0"/>
                <w:sz w:val="20"/>
                <w:szCs w:val="20"/>
                <w:lang w:eastAsia="zh-CN"/>
              </w:rPr>
              <w:t>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bidi="ar-SA"/>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 【规范性文件】《粮食和物资储备执法督查工作规程》  第六十六条：执法督查人员违反本规程第六十三条、第六十四条规定的，由粮食和储备部门依据《中华人民共和国公职人员政务处分法》《粮食流通管理条例》《中央储备粮管理条例》等相关法律法规，依法给予行政处分，构成犯罪的，依法移送司法机关。</w:t>
            </w:r>
          </w:p>
        </w:tc>
        <w:tc>
          <w:tcPr>
            <w:tcW w:w="96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法律法规规章规定的免责情形及市委、市人民政府有关文件中明确的免责情形。</w:t>
            </w:r>
          </w:p>
        </w:tc>
        <w:tc>
          <w:tcPr>
            <w:tcW w:w="675" w:type="dxa"/>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364" w:hRule="atLeast"/>
          <w:jc w:val="center"/>
        </w:trPr>
        <w:tc>
          <w:tcPr>
            <w:tcW w:w="486" w:type="dxa"/>
            <w:tcBorders>
              <w:tl2br w:val="nil"/>
              <w:tr2bl w:val="nil"/>
            </w:tcBorders>
            <w:vAlign w:val="center"/>
          </w:tcPr>
          <w:p>
            <w:pPr>
              <w:widowControl/>
              <w:adjustRightInd w:val="0"/>
              <w:snapToGrid w:val="0"/>
              <w:spacing w:line="296"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14</w:t>
            </w:r>
          </w:p>
        </w:tc>
        <w:tc>
          <w:tcPr>
            <w:tcW w:w="645" w:type="dxa"/>
            <w:tcBorders>
              <w:tl2br w:val="nil"/>
              <w:tr2bl w:val="nil"/>
            </w:tcBorders>
            <w:vAlign w:val="center"/>
          </w:tcPr>
          <w:p>
            <w:pPr>
              <w:widowControl/>
              <w:adjustRightInd w:val="0"/>
              <w:snapToGrid w:val="0"/>
              <w:spacing w:line="240" w:lineRule="auto"/>
              <w:jc w:val="left"/>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行政检查</w:t>
            </w:r>
          </w:p>
        </w:tc>
        <w:tc>
          <w:tcPr>
            <w:tcW w:w="615" w:type="dxa"/>
            <w:tcBorders>
              <w:tl2br w:val="nil"/>
              <w:tr2bl w:val="nil"/>
            </w:tcBorders>
            <w:vAlign w:val="center"/>
          </w:tcPr>
          <w:p>
            <w:pPr>
              <w:widowControl/>
              <w:adjustRightInd w:val="0"/>
              <w:snapToGrid w:val="0"/>
              <w:spacing w:line="240" w:lineRule="auto"/>
              <w:jc w:val="left"/>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对储备粮管理监督检查</w:t>
            </w:r>
          </w:p>
        </w:tc>
        <w:tc>
          <w:tcPr>
            <w:tcW w:w="58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p>
        </w:tc>
        <w:tc>
          <w:tcPr>
            <w:tcW w:w="660"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粮食物资监督管理股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【地方政府规章】《广西壮族自治区储备粮管理办法》（</w:t>
            </w:r>
            <w:r>
              <w:rPr>
                <w:rFonts w:hint="default" w:ascii="Times New Roman" w:hAnsi="Times New Roman" w:eastAsia="仿宋_GB2312" w:cs="Times New Roman"/>
                <w:color w:val="auto"/>
                <w:kern w:val="0"/>
                <w:sz w:val="20"/>
                <w:szCs w:val="20"/>
                <w:lang w:eastAsia="zh-CN"/>
              </w:rPr>
              <w:t>200</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13</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w:t>
            </w:r>
            <w:r>
              <w:rPr>
                <w:rFonts w:hint="default" w:ascii="Times New Roman" w:hAnsi="Times New Roman" w:eastAsia="仿宋_GB2312" w:cs="Times New Roman"/>
                <w:color w:val="auto"/>
                <w:kern w:val="0"/>
                <w:sz w:val="20"/>
                <w:szCs w:val="20"/>
                <w:lang w:val="en-US" w:eastAsia="zh-CN"/>
              </w:rPr>
              <w:t>18</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128</w:t>
            </w:r>
            <w:r>
              <w:rPr>
                <w:rFonts w:hint="eastAsia" w:ascii="仿宋_GB2312" w:hAnsi="仿宋_GB2312" w:eastAsia="仿宋_GB2312" w:cs="仿宋_GB2312"/>
                <w:color w:val="auto"/>
                <w:kern w:val="0"/>
                <w:sz w:val="20"/>
                <w:szCs w:val="20"/>
                <w:lang w:eastAsia="zh-CN"/>
              </w:rPr>
              <w:t>号第二次修正）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第四十五条：市、县级储备粮管理参照本办法执行。</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.选案阶段责任：根据举报或上级安排以及日常管理中发现的问题确定进行检查。</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检查阶段责任：检查应按有关程序进行，指定专人负责，及时组织调查取证，与当事人有直接利害关系的应当回避。检查人员不得少于两人，调查时应出示执法证件，允许当事人辩解陈述。检查人员应保守有关秘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.审查环节责任：对违法事实、证据资料、调查程序、法律适用、当事人陈述理由等进行审查，提出初步处理意见。</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.告知环节责任：对违法事实、处理依据、处理意见告知，听取当事人陈述申辩。</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bidi="ar-SA"/>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.决定环节责任：根据违法事实以及当事人陈述意见作出处理决定，重大案件应组织集体审议。</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.【地方政府规章】《广西壮族自治区储备粮管理办法》（</w:t>
            </w:r>
            <w:r>
              <w:rPr>
                <w:rFonts w:hint="default" w:ascii="Times New Roman" w:hAnsi="Times New Roman" w:eastAsia="仿宋_GB2312" w:cs="Times New Roman"/>
                <w:color w:val="auto"/>
                <w:kern w:val="0"/>
                <w:sz w:val="20"/>
                <w:szCs w:val="20"/>
                <w:lang w:eastAsia="zh-CN"/>
              </w:rPr>
              <w:t>200</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13</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w:t>
            </w:r>
            <w:r>
              <w:rPr>
                <w:rFonts w:hint="default" w:ascii="Times New Roman" w:hAnsi="Times New Roman" w:eastAsia="仿宋_GB2312" w:cs="Times New Roman"/>
                <w:color w:val="auto"/>
                <w:kern w:val="0"/>
                <w:sz w:val="20"/>
                <w:szCs w:val="20"/>
                <w:lang w:val="en-US" w:eastAsia="zh-CN"/>
              </w:rPr>
              <w:t>18</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128</w:t>
            </w:r>
            <w:r>
              <w:rPr>
                <w:rFonts w:hint="eastAsia" w:ascii="仿宋_GB2312" w:hAnsi="仿宋_GB2312" w:eastAsia="仿宋_GB2312" w:cs="仿宋_GB2312"/>
                <w:color w:val="auto"/>
                <w:kern w:val="0"/>
                <w:sz w:val="20"/>
                <w:szCs w:val="20"/>
                <w:lang w:eastAsia="zh-CN"/>
              </w:rPr>
              <w:t xml:space="preserve">号第二次修正）第七条：自治区粮食行政管理部门负责管理自治区储备粮，对自治区储备粮的数量、质量和储存实施监督检查。其所属的储备粮管理机构负责自治区储备粮的经营管理工作，并负责自治区储备粮的数量、质量和储存安全。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第四十五条：市、县级储备粮管理参照本办法执行。</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.【法律】《中华人民共和国行政许可法》第三十四条：行政机关应当对申请人提交的申请材料进行审查。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.【法律】《中华人民共和国行政处罚法》第六十一条：</w:t>
            </w:r>
            <w:r>
              <w:rPr>
                <w:rFonts w:hint="eastAsia" w:ascii="仿宋_GB2312" w:hAnsi="仿宋_GB2312" w:eastAsia="仿宋_GB2312" w:cs="仿宋_GB2312"/>
                <w:color w:val="auto"/>
                <w:kern w:val="0"/>
                <w:sz w:val="20"/>
                <w:szCs w:val="20"/>
                <w:lang w:val="en-US" w:eastAsia="zh-CN"/>
              </w:rPr>
              <w:t>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bidi="ar-SA"/>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val="en-US" w:eastAsia="zh-CN"/>
              </w:rPr>
              <w:t xml:space="preserve">因不履行或不正确履行行政职责，有下列情形的，行政机关及相关工作人员应承担相应责任: </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.不及时下达市级储备粮收购、销售及年度轮换计划的；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.发现市级储备粮承储企业不再具备承储条件不及时取消其承储任务的；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.接到举报、发现违法行为不及时查处的；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.拒不组织实施或者擅自改变市级储备粮收购、销售、年度轮换计划及动用命令的；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.选择不具备条件的企业存储市级储备粮的；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.发现市级储备粮的数量、质量存在问题不及时纠正的，或者发现危及市级储备粮储存安全的重大问题，不立即采取有效措施处理并按照规定报告的；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.拒绝、阻挠、干涉监督检察人员印发履行监督检查职责的；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.违反廉政纪律，索贿、受贿、利用职务之便为自己或者他人谋取私利的；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9</w:t>
            </w:r>
            <w:r>
              <w:rPr>
                <w:rFonts w:hint="eastAsia" w:ascii="仿宋_GB2312" w:hAnsi="仿宋_GB2312" w:eastAsia="仿宋_GB2312" w:cs="仿宋_GB2312"/>
                <w:color w:val="auto"/>
                <w:kern w:val="0"/>
                <w:sz w:val="20"/>
                <w:szCs w:val="20"/>
                <w:lang w:val="en-US" w:eastAsia="zh-CN"/>
              </w:rPr>
              <w:t>.其他违反法律法规文件规定的行为。</w:t>
            </w:r>
          </w:p>
        </w:tc>
        <w:tc>
          <w:tcPr>
            <w:tcW w:w="4264" w:type="dxa"/>
            <w:tcBorders>
              <w:tl2br w:val="nil"/>
              <w:tr2bl w:val="nil"/>
            </w:tcBorders>
            <w:vAlign w:val="center"/>
          </w:tcPr>
          <w:p>
            <w:pPr>
              <w:widowControl/>
              <w:numPr>
                <w:ilvl w:val="0"/>
                <w:numId w:val="0"/>
              </w:numPr>
              <w:wordWrap/>
              <w:adjustRightInd w:val="0"/>
              <w:snapToGrid w:val="0"/>
              <w:spacing w:before="0" w:after="0" w:line="240" w:lineRule="auto"/>
              <w:ind w:right="0"/>
              <w:textAlignment w:val="center"/>
              <w:outlineLvl w:val="9"/>
              <w:rPr>
                <w:rFonts w:hint="default" w:ascii="Times New Roman" w:hAnsi="Times New Roman" w:eastAsia="仿宋_GB2312" w:cs="Times New Roman"/>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 xml:space="preserve"> 1.《广西壮族自治区储备粮管理办法》（</w:t>
            </w:r>
            <w:r>
              <w:rPr>
                <w:rFonts w:hint="default" w:ascii="Times New Roman" w:hAnsi="Times New Roman" w:eastAsia="仿宋_GB2312" w:cs="Times New Roman"/>
                <w:color w:val="auto"/>
                <w:kern w:val="0"/>
                <w:sz w:val="20"/>
                <w:szCs w:val="20"/>
                <w:lang w:eastAsia="zh-CN"/>
              </w:rPr>
              <w:t>200</w:t>
            </w:r>
            <w:r>
              <w:rPr>
                <w:rFonts w:hint="default" w:ascii="Times New Roman" w:hAnsi="Times New Roman" w:eastAsia="仿宋_GB2312" w:cs="Times New Roman"/>
                <w:color w:val="auto"/>
                <w:kern w:val="0"/>
                <w:sz w:val="20"/>
                <w:szCs w:val="20"/>
                <w:lang w:val="en-US" w:eastAsia="zh-CN"/>
              </w:rPr>
              <w:t>5</w:t>
            </w:r>
            <w:r>
              <w:rPr>
                <w:rFonts w:hint="default" w:ascii="Times New Roman" w:hAnsi="Times New Roman" w:eastAsia="仿宋_GB2312" w:cs="Times New Roman"/>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13</w:t>
            </w:r>
            <w:r>
              <w:rPr>
                <w:rFonts w:hint="default" w:ascii="Times New Roman" w:hAnsi="Times New Roman" w:eastAsia="仿宋_GB2312" w:cs="Times New Roman"/>
                <w:color w:val="auto"/>
                <w:kern w:val="0"/>
                <w:sz w:val="20"/>
                <w:szCs w:val="20"/>
                <w:lang w:eastAsia="zh-CN"/>
              </w:rPr>
              <w:t>号公布，20</w:t>
            </w:r>
            <w:r>
              <w:rPr>
                <w:rFonts w:hint="default" w:ascii="Times New Roman" w:hAnsi="Times New Roman" w:eastAsia="仿宋_GB2312" w:cs="Times New Roman"/>
                <w:color w:val="auto"/>
                <w:kern w:val="0"/>
                <w:sz w:val="20"/>
                <w:szCs w:val="20"/>
                <w:lang w:val="en-US" w:eastAsia="zh-CN"/>
              </w:rPr>
              <w:t>18</w:t>
            </w:r>
            <w:r>
              <w:rPr>
                <w:rFonts w:hint="default" w:ascii="Times New Roman" w:hAnsi="Times New Roman" w:eastAsia="仿宋_GB2312" w:cs="Times New Roman"/>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128</w:t>
            </w:r>
            <w:r>
              <w:rPr>
                <w:rFonts w:hint="default" w:ascii="Times New Roman" w:hAnsi="Times New Roman" w:eastAsia="仿宋_GB2312" w:cs="Times New Roman"/>
                <w:color w:val="auto"/>
                <w:kern w:val="0"/>
                <w:sz w:val="20"/>
                <w:szCs w:val="20"/>
                <w:lang w:eastAsia="zh-CN"/>
              </w:rPr>
              <w:t>号第二次修正</w:t>
            </w:r>
            <w:r>
              <w:rPr>
                <w:rFonts w:hint="default" w:ascii="Times New Roman" w:hAnsi="Times New Roman" w:eastAsia="仿宋_GB2312" w:cs="Times New Roman"/>
                <w:color w:val="auto"/>
                <w:kern w:val="0"/>
                <w:sz w:val="20"/>
                <w:szCs w:val="20"/>
                <w:lang w:val="en-US" w:eastAsia="zh-CN"/>
              </w:rPr>
              <w:t>）第七条：自治区粮食行政管理部门负责管理自治区储备粮，对自治区储备粮的数量、质量和储存实施监督检查。其所属的储备粮管理机构负责自治区储备粮的经营管理工作，并负责自治区储备粮的数量、质量和储存安全。    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第四十五条：市、县级储备粮管理 本办法执行。</w:t>
            </w:r>
          </w:p>
          <w:p>
            <w:pPr>
              <w:widowControl/>
              <w:numPr>
                <w:ilvl w:val="0"/>
                <w:numId w:val="0"/>
              </w:numPr>
              <w:wordWrap/>
              <w:adjustRightInd w:val="0"/>
              <w:snapToGrid w:val="0"/>
              <w:spacing w:before="0" w:after="0" w:line="240" w:lineRule="auto"/>
              <w:ind w:right="0"/>
              <w:textAlignment w:val="center"/>
              <w:outlineLvl w:val="9"/>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 xml:space="preserve">    2.【法规】《行政机关公务员处分条例》（国务院令第495号）第二十三条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p>
            <w:pPr>
              <w:widowControl/>
              <w:numPr>
                <w:ilvl w:val="0"/>
                <w:numId w:val="0"/>
              </w:numPr>
              <w:wordWrap/>
              <w:adjustRightInd w:val="0"/>
              <w:snapToGrid w:val="0"/>
              <w:spacing w:before="0" w:after="0" w:line="240" w:lineRule="auto"/>
              <w:ind w:right="0"/>
              <w:textAlignment w:val="center"/>
              <w:outlineLvl w:val="9"/>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 xml:space="preserve">     3.【法规】《行政机关公务员处分条例》（国务院令第495号）第二十条有下列行为之一的，给予记过、记大过处分；情节较重的，给予降级或者撤职处分；情节严重的，给予开除处分：（四）其他玩忽职守、贻误工作的行为。</w:t>
            </w:r>
          </w:p>
          <w:p>
            <w:pPr>
              <w:widowControl/>
              <w:numPr>
                <w:ilvl w:val="0"/>
                <w:numId w:val="0"/>
              </w:numPr>
              <w:wordWrap/>
              <w:adjustRightInd w:val="0"/>
              <w:snapToGrid w:val="0"/>
              <w:spacing w:before="0" w:after="0" w:line="240" w:lineRule="auto"/>
              <w:ind w:right="0"/>
              <w:textAlignment w:val="center"/>
              <w:outlineLvl w:val="9"/>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 xml:space="preserve">    4.同3.</w:t>
            </w:r>
          </w:p>
          <w:p>
            <w:pPr>
              <w:widowControl/>
              <w:numPr>
                <w:ilvl w:val="0"/>
                <w:numId w:val="0"/>
              </w:numPr>
              <w:wordWrap/>
              <w:adjustRightInd w:val="0"/>
              <w:snapToGrid w:val="0"/>
              <w:spacing w:before="0" w:after="0" w:line="240" w:lineRule="auto"/>
              <w:ind w:right="0" w:firstLine="400" w:firstLineChars="200"/>
              <w:textAlignment w:val="center"/>
              <w:outlineLvl w:val="9"/>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5.同1.</w:t>
            </w:r>
          </w:p>
          <w:p>
            <w:pPr>
              <w:widowControl/>
              <w:numPr>
                <w:ilvl w:val="0"/>
                <w:numId w:val="0"/>
              </w:numPr>
              <w:wordWrap/>
              <w:adjustRightInd w:val="0"/>
              <w:snapToGrid w:val="0"/>
              <w:spacing w:before="0" w:after="0" w:line="240" w:lineRule="auto"/>
              <w:ind w:right="0" w:firstLine="400" w:firstLineChars="200"/>
              <w:textAlignment w:val="center"/>
              <w:outlineLvl w:val="9"/>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6.同1.</w:t>
            </w:r>
          </w:p>
          <w:p>
            <w:pPr>
              <w:widowControl/>
              <w:numPr>
                <w:ilvl w:val="0"/>
                <w:numId w:val="0"/>
              </w:numPr>
              <w:wordWrap/>
              <w:adjustRightInd w:val="0"/>
              <w:snapToGrid w:val="0"/>
              <w:spacing w:before="0" w:after="0" w:line="240" w:lineRule="auto"/>
              <w:ind w:right="0" w:firstLine="400" w:firstLineChars="200"/>
              <w:textAlignment w:val="center"/>
              <w:outlineLvl w:val="9"/>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7.同3.</w:t>
            </w:r>
          </w:p>
          <w:p>
            <w:pPr>
              <w:widowControl/>
              <w:numPr>
                <w:ilvl w:val="0"/>
                <w:numId w:val="0"/>
              </w:numPr>
              <w:wordWrap/>
              <w:adjustRightInd w:val="0"/>
              <w:snapToGrid w:val="0"/>
              <w:spacing w:before="0" w:after="0" w:line="240" w:lineRule="auto"/>
              <w:ind w:right="0" w:firstLine="400" w:firstLineChars="200"/>
              <w:textAlignment w:val="center"/>
              <w:outlineLvl w:val="9"/>
              <w:rPr>
                <w:rFonts w:hint="eastAsia" w:ascii="仿宋_GB2312" w:hAnsi="仿宋_GB2312" w:eastAsia="仿宋_GB2312" w:cs="仿宋_GB2312"/>
                <w:color w:val="auto"/>
                <w:kern w:val="0"/>
                <w:sz w:val="20"/>
                <w:szCs w:val="20"/>
                <w:lang w:eastAsia="zh-CN" w:bidi="ar-SA"/>
              </w:rPr>
            </w:pPr>
            <w:r>
              <w:rPr>
                <w:rFonts w:hint="default" w:ascii="Times New Roman" w:hAnsi="Times New Roman" w:eastAsia="仿宋_GB2312" w:cs="Times New Roman"/>
                <w:color w:val="auto"/>
                <w:kern w:val="0"/>
                <w:sz w:val="20"/>
                <w:szCs w:val="20"/>
                <w:lang w:val="en-US" w:eastAsia="zh-CN"/>
              </w:rPr>
              <w:t>8.同2.</w:t>
            </w:r>
          </w:p>
        </w:tc>
        <w:tc>
          <w:tcPr>
            <w:tcW w:w="96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法律法规规章规定的免责情形及市委、市人民政府有关文件中明确的免责情形。</w:t>
            </w:r>
          </w:p>
        </w:tc>
        <w:tc>
          <w:tcPr>
            <w:tcW w:w="675" w:type="dxa"/>
            <w:tcBorders>
              <w:tl2br w:val="nil"/>
              <w:tr2bl w:val="nil"/>
            </w:tcBorders>
            <w:vAlign w:val="top"/>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1"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15</w:t>
            </w:r>
          </w:p>
        </w:tc>
        <w:tc>
          <w:tcPr>
            <w:tcW w:w="64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eastAsia" w:ascii="仿宋_GB2312" w:hAnsi="仿宋_GB2312" w:eastAsia="仿宋_GB2312" w:cs="仿宋_GB2312"/>
                <w:i w:val="0"/>
                <w:iCs w:val="0"/>
                <w:caps w:val="0"/>
                <w:color w:val="auto"/>
                <w:spacing w:val="0"/>
                <w:sz w:val="20"/>
                <w:szCs w:val="20"/>
                <w:shd w:val="clear" w:color="080000" w:fill="FFFFFF"/>
                <w:lang w:eastAsia="zh-CN"/>
              </w:rPr>
              <w:t>行政检查</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对粮食库存检查</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粮食物资监督管理股</w:t>
            </w:r>
          </w:p>
        </w:tc>
        <w:tc>
          <w:tcPr>
            <w:tcW w:w="4121"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号第三次修订）第三十八条：粮食和储备行政管理部门依照本条例对粮食经营者从事粮食收购、储存、运输活动和政策性粮食的购销活动，以及执行国家粮食流通统计制度的情况进行监督检查。</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2348"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.受理责任：粮油仓储单位备案申请，并告知申请人办理竣工验收备案的相关事项。</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.审查责任：审查备案资料，材料不齐全的一次性告知，不符合法定条件的退回。</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.决定责任：拿出是否同意备案的意见，并报领导审核并签署意见形成备案决定。</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.送达责任：作出同意备案的，送达粮油仓储单位备案表；作出不同意备案的，说明原因并要求整改备案。</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.其他法律法规规章文件规定应履行的责任。</w:t>
            </w:r>
          </w:p>
        </w:tc>
        <w:tc>
          <w:tcPr>
            <w:tcW w:w="3806"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.【部门规章】《粮油仓储管理办法》（</w:t>
            </w:r>
            <w:r>
              <w:rPr>
                <w:rFonts w:hint="default" w:ascii="Times New Roman" w:hAnsi="Times New Roman" w:eastAsia="仿宋_GB2312" w:cs="Times New Roman"/>
                <w:color w:val="auto"/>
                <w:kern w:val="0"/>
                <w:sz w:val="20"/>
                <w:szCs w:val="20"/>
                <w:lang w:eastAsia="zh-CN"/>
              </w:rPr>
              <w:t>2009</w:t>
            </w:r>
            <w:r>
              <w:rPr>
                <w:rFonts w:hint="eastAsia" w:ascii="仿宋_GB2312" w:hAnsi="仿宋_GB2312" w:eastAsia="仿宋_GB2312" w:cs="仿宋_GB2312"/>
                <w:color w:val="auto"/>
                <w:kern w:val="0"/>
                <w:sz w:val="20"/>
                <w:szCs w:val="20"/>
                <w:lang w:eastAsia="zh-CN"/>
              </w:rPr>
              <w:t>年国家发展和改革委员会令第</w:t>
            </w: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号）第六条：粮油仓储单位应当自设立或者开始从事粮油仓储活动之日起</w:t>
            </w:r>
            <w:r>
              <w:rPr>
                <w:rFonts w:hint="default" w:ascii="Times New Roman" w:hAnsi="Times New Roman" w:eastAsia="仿宋_GB2312" w:cs="Times New Roman"/>
                <w:color w:val="auto"/>
                <w:kern w:val="0"/>
                <w:sz w:val="20"/>
                <w:szCs w:val="20"/>
                <w:lang w:eastAsia="zh-CN"/>
              </w:rPr>
              <w:t>3</w:t>
            </w:r>
            <w:r>
              <w:rPr>
                <w:rFonts w:hint="default" w:ascii="Times New Roman" w:hAnsi="Times New Roman" w:eastAsia="仿宋_GB2312" w:cs="Times New Roman"/>
                <w:color w:val="auto"/>
                <w:kern w:val="0"/>
                <w:sz w:val="20"/>
                <w:szCs w:val="20"/>
                <w:lang w:val="en-US" w:eastAsia="zh-CN"/>
              </w:rPr>
              <w:t>0</w:t>
            </w:r>
            <w:r>
              <w:rPr>
                <w:rFonts w:hint="eastAsia" w:ascii="仿宋_GB2312" w:hAnsi="仿宋_GB2312" w:eastAsia="仿宋_GB2312" w:cs="仿宋_GB2312"/>
                <w:color w:val="auto"/>
                <w:kern w:val="0"/>
                <w:sz w:val="20"/>
                <w:szCs w:val="20"/>
                <w:lang w:eastAsia="zh-CN"/>
              </w:rPr>
              <w:t>个工作日内，向所在地粮食行政管理部门备案。备案应当包括单位名称、地址、法人代表、主要仓储业务类型、仓（罐）容规模等内容。</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第二十八条：粮油仓储单位违反本办法第六条规定，未在规定时间向粮食行政管理部门备案，或者备案内容弄虚作假的，由负责备案管理的粮食行政管理部门责令改正，给予警告；拒不改正的，处</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万元以下罚款。</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 xml:space="preserve"> 因不履行或不正确履行行政职责，有下列情形的，行政机关及相关工作人员应承担相应责任：</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.符合条件的申请不予受理的；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.向申请单位和个人收取费用的；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.工作中滥用职权.徇私舞弊、玩忽职守造成不良后果的；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.工作中发生贪污腐败行为的；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.其他违反法律法规规章文件规定</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.【法律】《中华人民共和国公务员法》（</w:t>
            </w:r>
            <w:r>
              <w:rPr>
                <w:rFonts w:hint="default" w:ascii="Times New Roman" w:hAnsi="Times New Roman" w:eastAsia="仿宋_GB2312" w:cs="Times New Roman"/>
                <w:color w:val="auto"/>
                <w:kern w:val="0"/>
                <w:sz w:val="20"/>
                <w:szCs w:val="20"/>
                <w:lang w:val="en-US" w:eastAsia="zh-CN"/>
              </w:rPr>
              <w:t>2005</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27</w:t>
            </w:r>
            <w:r>
              <w:rPr>
                <w:rFonts w:hint="eastAsia" w:ascii="仿宋_GB2312" w:hAnsi="仿宋_GB2312" w:eastAsia="仿宋_GB2312" w:cs="仿宋_GB2312"/>
                <w:color w:val="auto"/>
                <w:kern w:val="0"/>
                <w:sz w:val="20"/>
                <w:szCs w:val="20"/>
                <w:lang w:val="en-US" w:eastAsia="zh-CN"/>
              </w:rPr>
              <w:t xml:space="preserve">日中华人民共和国主席令第三十五号公布 </w:t>
            </w:r>
            <w:r>
              <w:rPr>
                <w:rFonts w:hint="default" w:ascii="Times New Roman" w:hAnsi="Times New Roman" w:eastAsia="仿宋_GB2312" w:cs="Times New Roman"/>
                <w:color w:val="auto"/>
                <w:kern w:val="0"/>
                <w:sz w:val="20"/>
                <w:szCs w:val="20"/>
                <w:lang w:val="en-US" w:eastAsia="zh-CN"/>
              </w:rPr>
              <w:t>2018</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12</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29</w:t>
            </w:r>
            <w:r>
              <w:rPr>
                <w:rFonts w:hint="eastAsia" w:ascii="仿宋_GB2312" w:hAnsi="仿宋_GB2312" w:eastAsia="仿宋_GB2312" w:cs="仿宋_GB2312"/>
                <w:color w:val="auto"/>
                <w:kern w:val="0"/>
                <w:sz w:val="20"/>
                <w:szCs w:val="20"/>
                <w:lang w:val="en-US" w:eastAsia="zh-CN"/>
              </w:rPr>
              <w:t xml:space="preserve">日第十三届全国人民代表大会常务委员会第七次会议修订 </w:t>
            </w:r>
            <w:r>
              <w:rPr>
                <w:rFonts w:hint="default" w:ascii="Times New Roman" w:hAnsi="Times New Roman" w:eastAsia="仿宋_GB2312" w:cs="Times New Roman"/>
                <w:color w:val="auto"/>
                <w:kern w:val="0"/>
                <w:sz w:val="20"/>
                <w:szCs w:val="20"/>
                <w:lang w:val="en-US" w:eastAsia="zh-CN"/>
              </w:rPr>
              <w:t>2019</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日起施行）第五十九条：“公务员必须遵守纪律，不得有下列行为：不担当，不作为，玩忽职守，贻误工作。”</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.【法规】《行政机关公务员处分条例》（国务院令第</w:t>
            </w:r>
            <w:r>
              <w:rPr>
                <w:rFonts w:hint="default" w:ascii="Times New Roman" w:hAnsi="Times New Roman" w:eastAsia="仿宋_GB2312" w:cs="Times New Roman"/>
                <w:color w:val="auto"/>
                <w:kern w:val="0"/>
                <w:sz w:val="20"/>
                <w:szCs w:val="20"/>
                <w:lang w:val="en-US" w:eastAsia="zh-CN"/>
              </w:rPr>
              <w:t>495</w:t>
            </w:r>
            <w:r>
              <w:rPr>
                <w:rFonts w:hint="eastAsia" w:ascii="仿宋_GB2312" w:hAnsi="仿宋_GB2312" w:eastAsia="仿宋_GB2312" w:cs="仿宋_GB2312"/>
                <w:color w:val="auto"/>
                <w:kern w:val="0"/>
                <w:sz w:val="20"/>
                <w:szCs w:val="20"/>
                <w:lang w:val="en-US" w:eastAsia="zh-CN"/>
              </w:rPr>
              <w:t>号）第二十三条：“有贪污、索贿、受贿、行贿、介绍贿赂、挪用公款、利用职务之便为自己或者他人谋取私利、巨额财产来源不明等违反廉政纪律行为的，给予记过或者记大过处分；情节较重的，给予降级或者撤职。</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.【法规】《行政机关公务员处分条例》（国务院令第</w:t>
            </w:r>
            <w:r>
              <w:rPr>
                <w:rFonts w:hint="default" w:ascii="Times New Roman" w:hAnsi="Times New Roman" w:eastAsia="仿宋_GB2312" w:cs="Times New Roman"/>
                <w:color w:val="auto"/>
                <w:kern w:val="0"/>
                <w:sz w:val="20"/>
                <w:szCs w:val="20"/>
                <w:lang w:val="en-US" w:eastAsia="zh-CN"/>
              </w:rPr>
              <w:t>495</w:t>
            </w:r>
            <w:r>
              <w:rPr>
                <w:rFonts w:hint="eastAsia" w:ascii="仿宋_GB2312" w:hAnsi="仿宋_GB2312" w:eastAsia="仿宋_GB2312" w:cs="仿宋_GB2312"/>
                <w:color w:val="auto"/>
                <w:kern w:val="0"/>
                <w:sz w:val="20"/>
                <w:szCs w:val="20"/>
                <w:lang w:val="en-US" w:eastAsia="zh-CN"/>
              </w:rPr>
              <w:t xml:space="preserve">号）第二十条有下列行为之一的，给予记过、记大过处分；情节较重的，给予降级或者撤职处分；情节严重的，给予开除处分：（四）其他玩忽职守、贻误工作的行为。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.同</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 xml:space="preserve">.                                   </w:t>
            </w:r>
            <w:r>
              <w:rPr>
                <w:rFonts w:hint="eastAsia" w:ascii="方正书宋_GBK" w:hAnsi="宋体" w:eastAsia="方正书宋_GBK" w:cs="宋体"/>
                <w:color w:val="auto"/>
                <w:kern w:val="0"/>
                <w:sz w:val="20"/>
                <w:szCs w:val="20"/>
                <w:lang w:val="en-US" w:eastAsia="zh-CN"/>
              </w:rPr>
              <w:t xml:space="preserve">                         </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法律法规规章规定的免责情形及市委、市人民政府有关文件中明确的免责情形。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91"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16</w:t>
            </w:r>
          </w:p>
        </w:tc>
        <w:tc>
          <w:tcPr>
            <w:tcW w:w="64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eastAsia" w:ascii="仿宋_GB2312" w:hAnsi="仿宋_GB2312" w:eastAsia="仿宋_GB2312" w:cs="仿宋_GB2312"/>
                <w:i w:val="0"/>
                <w:iCs w:val="0"/>
                <w:caps w:val="0"/>
                <w:color w:val="auto"/>
                <w:spacing w:val="0"/>
                <w:sz w:val="20"/>
                <w:szCs w:val="20"/>
                <w:shd w:val="clear" w:color="080000" w:fill="FFFFFF"/>
                <w:lang w:eastAsia="zh-CN"/>
              </w:rPr>
              <w:t>行政检查</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对粮食经营活动的监督检查</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粮食物资监督管理股</w:t>
            </w:r>
          </w:p>
        </w:tc>
        <w:tc>
          <w:tcPr>
            <w:tcW w:w="4121"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.【部门规章】《粮油仓储管理办法》（</w:t>
            </w:r>
            <w:r>
              <w:rPr>
                <w:rFonts w:hint="default" w:ascii="Times New Roman" w:hAnsi="Times New Roman" w:eastAsia="仿宋_GB2312" w:cs="Times New Roman"/>
                <w:color w:val="auto"/>
                <w:kern w:val="0"/>
                <w:sz w:val="20"/>
                <w:szCs w:val="20"/>
                <w:lang w:eastAsia="zh-CN"/>
              </w:rPr>
              <w:t>2009</w:t>
            </w:r>
            <w:r>
              <w:rPr>
                <w:rFonts w:hint="eastAsia" w:ascii="仿宋_GB2312" w:hAnsi="仿宋_GB2312" w:eastAsia="仿宋_GB2312" w:cs="仿宋_GB2312"/>
                <w:color w:val="auto"/>
                <w:kern w:val="0"/>
                <w:sz w:val="20"/>
                <w:szCs w:val="20"/>
                <w:lang w:eastAsia="zh-CN"/>
              </w:rPr>
              <w:t>年国家发展和改革委员会令第</w:t>
            </w: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号）第三条：粮油仓储单位必须遵守国家法律、法规和相关管理规定，执行国家和地方粮食流通政策和粮食应急预案，贯彻国家和地方制定的仓储管理制度和标准，接受粮食行政管理部门的业务指导，配合粮食行政管理部门依法开展监督检查。</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第五条：国家粮食行政管理部门负责全国粮油仓储监督管理工作，制定管理制度和标准，组织储粮安全检查工作。县级以上地方人民政府粮食行政管理部门负责本行政区域的粮油仓储监督管理工作。</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.【规范性文件】《国家发展和改革委员会、国家粮食局、财政部、卫生部、国家工商行政管理总局、国家质量监督检验检疫总局关于印发〈粮食流通监督检查暂行办法〉的通知》（国粮检〔</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230</w:t>
            </w:r>
            <w:r>
              <w:rPr>
                <w:rFonts w:hint="eastAsia" w:ascii="仿宋_GB2312" w:hAnsi="仿宋_GB2312" w:eastAsia="仿宋_GB2312" w:cs="仿宋_GB2312"/>
                <w:color w:val="auto"/>
                <w:kern w:val="0"/>
                <w:sz w:val="20"/>
                <w:szCs w:val="20"/>
                <w:lang w:eastAsia="zh-CN"/>
              </w:rPr>
              <w:t>号）第七条：粮食行政管理部门依照法律、行政法规规定的职责，对粮食经营活动进行监督检查。内容包括：（一）粮食收购者是否在其从事的粮食收购活动中是否执行了国家有关法律、法规、规章及粮食收购政策。（二）粮食经营者使用的粮食仓储设施、设备是否符合有关标准和技术规范。（三）粮食经营者在粮食收购、储存活动中，是否按规定执行了国家粮食质量标准和国家有关粮食仓储的技术标准和规范，其收购、储存的原粮是否符合国家有关标准和规定。（四）粮食经营者是否执行了国家粮食运输的技术标准和规范。（五）粮食储存企业是否建立并执行了粮食销售出库质量检验制度。（六）从事粮食收购、加工、销售的经营者是否执行了省级人民政府制定的最低和最高库存量的规定。（七）粮食经营者是否执行了国家陈化粮销售处理有关规定。（八）地方储备粮经营管理机构及地方储备粮承储企业是否执行地方储备粮管理有关政策和规定；地方储备粮的数量、质量、储存安全以及轮换计划执行情况，各项规章制度、标准与规范执行情况，以及地方储备粮承储企业的承储资格情况。（九）从事军粮供应、退耕还林粮食供应、水库移民粮食供应、救灾粮供应等政策性用粮经营活动的粮食经营者是否执行了有关法律、法规、规章和政策。（十）粮食经营者是否建立了粮食经营台账，是否执行了国家粮食流通统计制度。（十一）粮食经营者是否依照粮食应急预案规定，承担了相应义务，执行了相关规定。（十二）法律、法规、规章和政策规定需要进行监督检查的其他内容。</w:t>
            </w:r>
          </w:p>
        </w:tc>
        <w:tc>
          <w:tcPr>
            <w:tcW w:w="2348"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.选案阶段责任：根据举报或上级安排以及日常管理中发现的问题确定进行检查。</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检查阶段责任：检查应按有关程序进行，指定专人负责，及时组织调查取证，与当事人有直接利害关系的应当回避。检查人员不得少于两人，调查时应出示执法证件，允许当事人辩解陈述。检查人员应保守有关秘密。</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.审查环节责任：对违法事实、证据资料、调查程序、法律适用、当事人陈述理由等进行审查，提出初步处理意见。</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告知环节责任：对违法事实、处理依据、处理意见告知，听取当事人陈述申辩。</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决定环节责任：根据违法事实以及当事人陈述意见作出处理决定，重大案件应组织集体审议。</w:t>
            </w:r>
          </w:p>
        </w:tc>
        <w:tc>
          <w:tcPr>
            <w:tcW w:w="3806"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.【规范性文件】《国家发展和改革委员会、国家粮食局、财政部、卫生部、国家工商行政管理总局、国家质量监督检验检疫总局关于印发〈粮食流通监督检查暂行办法〉的通知》（国粮检〔</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w:t>
            </w:r>
            <w:r>
              <w:rPr>
                <w:rFonts w:hint="default" w:ascii="Times New Roman" w:hAnsi="Times New Roman" w:eastAsia="仿宋_GB2312" w:cs="Times New Roman"/>
                <w:color w:val="auto"/>
                <w:kern w:val="0"/>
                <w:sz w:val="20"/>
                <w:szCs w:val="20"/>
                <w:lang w:eastAsia="zh-CN"/>
              </w:rPr>
              <w:t>230</w:t>
            </w:r>
            <w:r>
              <w:rPr>
                <w:rFonts w:hint="eastAsia" w:ascii="仿宋_GB2312" w:hAnsi="仿宋_GB2312" w:eastAsia="仿宋_GB2312" w:cs="仿宋_GB2312"/>
                <w:color w:val="auto"/>
                <w:kern w:val="0"/>
                <w:sz w:val="20"/>
                <w:szCs w:val="20"/>
                <w:lang w:eastAsia="zh-CN"/>
              </w:rPr>
              <w:t>号）第七条：粮食行政管理部门依照法律、行政法规规定的职责，对粮食经营活动进行监督检查。内容包括：（一）粮食收购者是否在其从事的粮食收购活动中是否执行了国家有关法律、法规、规章及粮食收购政策。（二）粮食经营者使用的粮食仓储设施、设备是否符合有关标准和技术规范。（三）粮食经营者在粮食收购、储存活动中，是否按规定执行了国家粮食质量标准和国家有关粮食仓储的技术标准和规范，其收购、储存的原粮是否符合国家有关标准和规定。（四）粮食经营者是否执行了国家粮食运输的技术标准和规范。（五）粮食储存企业是否建立并执行了粮食销售出库质量检验制度。（六）从事粮食收购、加工、销售的经营者是否执行了省级人民政府制定的最低和最高库存量的规定。（七）粮食经营者是否执行了国家陈化粮销售处理有关规定。（八）地方储备粮经营管理机构及地方储备粮承储企业是否执行地方储备粮管理有关政策和规定；地方储备粮的数量、质量、储存安全以及轮换计划执行情况，各项规章制度、标准与规范执行情况，以及地方储备粮承储企业的承储资格情况。（九）从事军粮供应、退耕还林粮食供应、水库移民粮食供应、救灾粮供应等政策性用粮经营活动的粮食经营者是否执行了有关法律、法规、规章和政策。（十）粮食经营者是否建立了粮食经营台账，是否执行了国家粮食流通统计制度。（十一）粮食经营者是否依照粮食应急预案规定，承担了相应义务，执行了相关规定。（十二）法律、法规、规章和政策规定需要进行监督检查的其他内容。</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.【部门规章】《粮油仓储管理办法》（</w:t>
            </w:r>
            <w:r>
              <w:rPr>
                <w:rFonts w:hint="default" w:ascii="Times New Roman" w:hAnsi="Times New Roman" w:eastAsia="仿宋_GB2312" w:cs="Times New Roman"/>
                <w:color w:val="auto"/>
                <w:kern w:val="0"/>
                <w:sz w:val="20"/>
                <w:szCs w:val="20"/>
                <w:lang w:eastAsia="zh-CN"/>
              </w:rPr>
              <w:t>2009</w:t>
            </w:r>
            <w:r>
              <w:rPr>
                <w:rFonts w:hint="eastAsia" w:ascii="仿宋_GB2312" w:hAnsi="仿宋_GB2312" w:eastAsia="仿宋_GB2312" w:cs="仿宋_GB2312"/>
                <w:color w:val="auto"/>
                <w:kern w:val="0"/>
                <w:sz w:val="20"/>
                <w:szCs w:val="20"/>
                <w:lang w:eastAsia="zh-CN"/>
              </w:rPr>
              <w:t>年国家发展和改革委员会令第</w:t>
            </w: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号）第三条：粮油仓储单位必须遵守国家法律、法规和相关管理规定，执行国家和地方粮食流通政策和粮食应急预案，贯彻国家和地方制定的仓储管理制度和标准，接受粮食行政管理部门的业务指导，配合粮食行政管理部门依法开展监督检查。　</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第五条：国家粮食行政管理部门负责全国粮油仓储监督管理工作，制定管理制度和标准，组织储粮安全检查工作。县级以上地方人民政府粮食行政管理部门负责本行政区域的粮油仓储监督管理工作。</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3</w:t>
            </w:r>
            <w:r>
              <w:rPr>
                <w:rFonts w:hint="eastAsia" w:ascii="仿宋_GB2312" w:hAnsi="仿宋_GB2312" w:eastAsia="仿宋_GB2312" w:cs="仿宋_GB2312"/>
                <w:color w:val="auto"/>
                <w:kern w:val="0"/>
                <w:sz w:val="20"/>
                <w:szCs w:val="20"/>
                <w:lang w:eastAsia="zh-CN"/>
              </w:rPr>
              <w:t>.【法律】《中华人民共和国行政许可法》第三十四条：行政机关应当对申请人提交的申请材料进行审查。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4</w:t>
            </w:r>
            <w:r>
              <w:rPr>
                <w:rFonts w:hint="eastAsia" w:ascii="仿宋_GB2312" w:hAnsi="仿宋_GB2312" w:eastAsia="仿宋_GB2312" w:cs="仿宋_GB2312"/>
                <w:color w:val="auto"/>
                <w:kern w:val="0"/>
                <w:sz w:val="20"/>
                <w:szCs w:val="20"/>
                <w:lang w:eastAsia="zh-CN"/>
              </w:rPr>
              <w:t>.【法律】《中华人民共和国行政处罚法》第六十一条：</w:t>
            </w:r>
            <w:r>
              <w:rPr>
                <w:rFonts w:hint="eastAsia" w:ascii="仿宋_GB2312" w:hAnsi="仿宋_GB2312" w:eastAsia="仿宋_GB2312" w:cs="仿宋_GB2312"/>
                <w:color w:val="auto"/>
                <w:kern w:val="0"/>
                <w:sz w:val="20"/>
                <w:szCs w:val="20"/>
                <w:lang w:val="en-US" w:eastAsia="zh-CN"/>
              </w:rPr>
              <w:t>行政处罚决定书应当在宣告后当场交付当事人；当事人不在场的，行政机关应当在七日内依照《中华人民共和国民事诉讼法》的有关规定，将行政处罚决定书送达当事人。</w:t>
            </w:r>
            <w:r>
              <w:rPr>
                <w:rFonts w:hint="default" w:ascii="仿宋_GB2312" w:hAnsi="仿宋_GB2312" w:eastAsia="仿宋_GB2312" w:cs="仿宋_GB2312"/>
                <w:color w:val="auto"/>
                <w:kern w:val="0"/>
                <w:sz w:val="20"/>
                <w:szCs w:val="20"/>
                <w:lang w:val="en-US" w:eastAsia="zh-CN"/>
              </w:rPr>
              <w:t>当事人同意并签订确认书的，行政机关可以采用传真、电子邮件等方式，将行政处罚决定书等送达当事人。</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5</w:t>
            </w:r>
            <w:r>
              <w:rPr>
                <w:rFonts w:hint="eastAsia" w:ascii="仿宋_GB2312" w:hAnsi="仿宋_GB2312" w:eastAsia="仿宋_GB2312" w:cs="仿宋_GB2312"/>
                <w:color w:val="auto"/>
                <w:kern w:val="0"/>
                <w:sz w:val="20"/>
                <w:szCs w:val="20"/>
                <w:lang w:eastAsia="zh-CN"/>
              </w:rPr>
              <w:t>.同</w:t>
            </w: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 xml:space="preserve">因不履行或不正确履行行政职责，有下列情形的，行政机关及相关工作人员应承担相应责任: </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.不及时下达市级储备粮收购、销售及年度轮换计划的；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.发现市级储备粮承储企业不再具备承储条件不及时取消其承储任务的；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.接到举报、发现违法行为不及时查处的；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.拒不组织实施或者擅自改变市级储备粮收购、销售、年度轮换计划及动用命令的；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.选择不具备条件的企业存储市级储备粮的；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.发现市级储备粮的数量、质量存在问题不及时纠正的，或者发现危及市级储备粮储存安全的重大问题，不立即采取有效措施处理并按照规定报告的；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.拒绝、阻挠、干涉监督检察人员印发履行监督检查职责的；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.违反廉政纪律，索贿、受贿、利用职务之便为自己或者他人谋取私利的；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9</w:t>
            </w:r>
            <w:r>
              <w:rPr>
                <w:rFonts w:hint="eastAsia" w:ascii="仿宋_GB2312" w:hAnsi="仿宋_GB2312" w:eastAsia="仿宋_GB2312" w:cs="仿宋_GB2312"/>
                <w:color w:val="auto"/>
                <w:kern w:val="0"/>
                <w:sz w:val="20"/>
                <w:szCs w:val="20"/>
                <w:lang w:val="en-US" w:eastAsia="zh-CN"/>
              </w:rPr>
              <w:t>.其他违反法律法规文件规定的行为。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.《广西壮族自治区储备粮管理办法》（</w:t>
            </w:r>
            <w:r>
              <w:rPr>
                <w:rFonts w:hint="default" w:ascii="Times New Roman" w:hAnsi="Times New Roman" w:eastAsia="仿宋_GB2312" w:cs="Times New Roman"/>
                <w:color w:val="auto"/>
                <w:kern w:val="0"/>
                <w:sz w:val="20"/>
                <w:szCs w:val="20"/>
                <w:lang w:eastAsia="zh-CN"/>
              </w:rPr>
              <w:t>200</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13</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w:t>
            </w:r>
            <w:r>
              <w:rPr>
                <w:rFonts w:hint="default" w:ascii="Times New Roman" w:hAnsi="Times New Roman" w:eastAsia="仿宋_GB2312" w:cs="Times New Roman"/>
                <w:color w:val="auto"/>
                <w:kern w:val="0"/>
                <w:sz w:val="20"/>
                <w:szCs w:val="20"/>
                <w:lang w:val="en-US" w:eastAsia="zh-CN"/>
              </w:rPr>
              <w:t>18</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128</w:t>
            </w:r>
            <w:r>
              <w:rPr>
                <w:rFonts w:hint="eastAsia" w:ascii="仿宋_GB2312" w:hAnsi="仿宋_GB2312" w:eastAsia="仿宋_GB2312" w:cs="仿宋_GB2312"/>
                <w:color w:val="auto"/>
                <w:kern w:val="0"/>
                <w:sz w:val="20"/>
                <w:szCs w:val="20"/>
                <w:lang w:eastAsia="zh-CN"/>
              </w:rPr>
              <w:t>号第二次修正</w:t>
            </w:r>
            <w:r>
              <w:rPr>
                <w:rFonts w:hint="eastAsia" w:ascii="仿宋_GB2312" w:hAnsi="仿宋_GB2312" w:eastAsia="仿宋_GB2312" w:cs="仿宋_GB2312"/>
                <w:color w:val="auto"/>
                <w:kern w:val="0"/>
                <w:sz w:val="20"/>
                <w:szCs w:val="20"/>
                <w:lang w:val="en-US" w:eastAsia="zh-CN"/>
              </w:rPr>
              <w:t>）第七条：自治区粮食行政管理部门负责管理自治区储备粮，对自治区储备粮的数量、质量和储存实施监督检查。其所属的储备粮管理机构负责自治区储备粮的经营管理工作，并负责自治区储备粮的数量、质量和储存安全。    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第四十五条：市、县级储备粮管理 本办法执行。</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.【法规】《行政机关公务员处分条例》（国务院令第</w:t>
            </w:r>
            <w:r>
              <w:rPr>
                <w:rFonts w:hint="default" w:ascii="Times New Roman" w:hAnsi="Times New Roman" w:eastAsia="仿宋_GB2312" w:cs="Times New Roman"/>
                <w:color w:val="auto"/>
                <w:kern w:val="0"/>
                <w:sz w:val="20"/>
                <w:szCs w:val="20"/>
                <w:lang w:val="en-US" w:eastAsia="zh-CN"/>
              </w:rPr>
              <w:t>495</w:t>
            </w:r>
            <w:r>
              <w:rPr>
                <w:rFonts w:hint="eastAsia" w:ascii="仿宋_GB2312" w:hAnsi="仿宋_GB2312" w:eastAsia="仿宋_GB2312" w:cs="仿宋_GB2312"/>
                <w:color w:val="auto"/>
                <w:kern w:val="0"/>
                <w:sz w:val="20"/>
                <w:szCs w:val="20"/>
                <w:lang w:val="en-US" w:eastAsia="zh-CN"/>
              </w:rPr>
              <w:t>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.【法规】《行政机关公务员处分条例》（国务院令第</w:t>
            </w:r>
            <w:r>
              <w:rPr>
                <w:rFonts w:hint="default" w:ascii="Times New Roman" w:hAnsi="Times New Roman" w:eastAsia="仿宋_GB2312" w:cs="Times New Roman"/>
                <w:color w:val="auto"/>
                <w:kern w:val="0"/>
                <w:sz w:val="20"/>
                <w:szCs w:val="20"/>
                <w:lang w:val="en-US" w:eastAsia="zh-CN"/>
              </w:rPr>
              <w:t>495</w:t>
            </w:r>
            <w:r>
              <w:rPr>
                <w:rFonts w:hint="eastAsia" w:ascii="仿宋_GB2312" w:hAnsi="仿宋_GB2312" w:eastAsia="仿宋_GB2312" w:cs="仿宋_GB2312"/>
                <w:color w:val="auto"/>
                <w:kern w:val="0"/>
                <w:sz w:val="20"/>
                <w:szCs w:val="20"/>
                <w:lang w:val="en-US" w:eastAsia="zh-CN"/>
              </w:rPr>
              <w:t>号）第二十条有下列行为之一的，给予记过、记大过处分；情节较重的，给予降级或者撤职处分；情节严重的，给予开除处分：（四）其他玩忽职守、贻误工作的行为。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.同</w:t>
            </w:r>
            <w:r>
              <w:rPr>
                <w:rFonts w:hint="default" w:ascii="Times New Roman" w:hAnsi="Times New Roman" w:eastAsia="仿宋_GB2312" w:cs="Times New Roman"/>
                <w:color w:val="auto"/>
                <w:kern w:val="0"/>
                <w:sz w:val="20"/>
                <w:szCs w:val="20"/>
                <w:lang w:val="en-US" w:eastAsia="zh-CN"/>
              </w:rPr>
              <w:t>3</w:t>
            </w:r>
            <w:r>
              <w:rPr>
                <w:rFonts w:hint="eastAsia" w:ascii="Times New Roman" w:hAnsi="Times New Roman" w:eastAsia="仿宋_GB2312" w:cs="Times New Roman"/>
                <w:color w:val="auto"/>
                <w:kern w:val="0"/>
                <w:sz w:val="20"/>
                <w:szCs w:val="20"/>
                <w:lang w:val="en-US" w:eastAsia="zh-CN"/>
              </w:rPr>
              <w:t>.</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.同</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.同</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.同</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.同</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法律法规规章规定的免责情形及市委、市人民政府有关文件中明确的免责情形。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497"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17</w:t>
            </w:r>
          </w:p>
        </w:tc>
        <w:tc>
          <w:tcPr>
            <w:tcW w:w="64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0"/>
                <w:szCs w:val="20"/>
                <w:shd w:val="clear" w:color="080000" w:fill="FFFFFF"/>
                <w:lang w:eastAsia="zh-CN"/>
              </w:rPr>
            </w:pPr>
            <w:r>
              <w:rPr>
                <w:rFonts w:hint="eastAsia" w:ascii="仿宋_GB2312" w:hAnsi="仿宋_GB2312" w:eastAsia="仿宋_GB2312" w:cs="仿宋_GB2312"/>
                <w:i w:val="0"/>
                <w:iCs w:val="0"/>
                <w:caps w:val="0"/>
                <w:color w:val="auto"/>
                <w:spacing w:val="0"/>
                <w:sz w:val="20"/>
                <w:szCs w:val="20"/>
                <w:shd w:val="clear" w:color="080000" w:fill="FFFFFF"/>
                <w:lang w:eastAsia="zh-CN"/>
              </w:rPr>
              <w:t>行政确认</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纪检监察、司法、行政工作价格认定、价格认定复核</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物价股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.【地方性法规】《广西壮族自治区赃物估价管理条例》（</w:t>
            </w:r>
            <w:r>
              <w:rPr>
                <w:rFonts w:hint="default" w:ascii="Times New Roman" w:hAnsi="Times New Roman" w:eastAsia="仿宋_GB2312" w:cs="Times New Roman"/>
                <w:color w:val="auto"/>
                <w:kern w:val="0"/>
                <w:sz w:val="20"/>
                <w:szCs w:val="20"/>
                <w:lang w:val="en-US" w:eastAsia="zh-CN"/>
              </w:rPr>
              <w:t>1994</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日广西壮族自治区人大常委会第九次会议通过）第八条：委托方对物价主管部门的估价结论有异议的，可以在收到估价结论之日起七日内向上一级物价主管部门书面提出复核申请。</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第十一条：物价主管部门对赃物的估价结论和复核估价结论是行政执法机关、司法机关办理案件的依据。</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.【规范性文件】《国家发展改革委关于印发〈价格认定规定〉的通知》（发改价格〔</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2251</w:t>
            </w:r>
            <w:r>
              <w:rPr>
                <w:rFonts w:hint="eastAsia" w:ascii="仿宋_GB2312" w:hAnsi="仿宋_GB2312" w:eastAsia="仿宋_GB2312" w:cs="仿宋_GB2312"/>
                <w:color w:val="auto"/>
                <w:kern w:val="0"/>
                <w:sz w:val="20"/>
                <w:szCs w:val="20"/>
                <w:lang w:val="en-US" w:eastAsia="zh-CN"/>
              </w:rPr>
              <w:t>号）第二条： 本规定所称价格认定，是指经有关国家机关提出，价格认定机构对纪检监察、司法、行政工作中所涉及的，价格不明或者价格有争议的，实行市场调节价的有形产品、无形资产和各类有偿服务进行价格确认的行为。　</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第九条： 地市级人民政府价格主管部门的价格认定机构办理本级纪律检查委员会、中级人民法院或者直辖市辖区人民法院，本级或者直辖市辖区人民检察院，本级人民政府各部门以及国务院垂直管理部门所属机构提出的价格认定事项和本行政区域内的价格认定复核事项。</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.【规范性文件】《国家发展改革委关于印发〈价格认定复核办法〉的通知》（发改价格规〔</w:t>
            </w:r>
            <w:r>
              <w:rPr>
                <w:rFonts w:hint="default" w:ascii="Times New Roman" w:hAnsi="Times New Roman" w:eastAsia="仿宋_GB2312" w:cs="Times New Roman"/>
                <w:color w:val="auto"/>
                <w:kern w:val="0"/>
                <w:sz w:val="20"/>
                <w:szCs w:val="20"/>
                <w:lang w:val="en-US" w:eastAsia="zh-CN"/>
              </w:rPr>
              <w:t>2018</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1343</w:t>
            </w:r>
            <w:r>
              <w:rPr>
                <w:rFonts w:hint="eastAsia" w:ascii="仿宋_GB2312" w:hAnsi="仿宋_GB2312" w:eastAsia="仿宋_GB2312" w:cs="仿宋_GB2312"/>
                <w:color w:val="auto"/>
                <w:kern w:val="0"/>
                <w:sz w:val="20"/>
                <w:szCs w:val="20"/>
                <w:lang w:val="en-US" w:eastAsia="zh-CN"/>
              </w:rPr>
              <w:t>号）。</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.受理责任：提出机关出具价格认定复核申请书及补充材料，依法受理或不予受理（不予受理应当告知理由）。</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.认定复核责任：承办人依法开展查（勘）验、听取意见、市场调查、审查测算、作出结论。</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.决定责任：审议及审核出具价格认定复核决定书。</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.监管责任：按照价格认定工作制度、规则、程序和方法进行价格认定监管。</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.【地方性法规】《广西壮族自治区赃物估价管理条例》（</w:t>
            </w:r>
            <w:r>
              <w:rPr>
                <w:rFonts w:hint="default" w:ascii="Times New Roman" w:hAnsi="Times New Roman" w:eastAsia="仿宋_GB2312" w:cs="Times New Roman"/>
                <w:color w:val="auto"/>
                <w:kern w:val="0"/>
                <w:sz w:val="20"/>
                <w:szCs w:val="20"/>
                <w:lang w:val="en-US" w:eastAsia="zh-CN"/>
              </w:rPr>
              <w:t>1994</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日广西壮族自治区人大常委会第九次会议通过）第八条：委托方对物价主管部门的估价结论有异议的，可以在收到估价结论之日起七日内向上一级物价主管部门书面提出复核申请。</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.【规范性文件】《国家发展和改革委员会价格认证中心关于印发〈价格认定行为规范〉的通知》（发改价证办〔</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84</w:t>
            </w:r>
            <w:r>
              <w:rPr>
                <w:rFonts w:hint="eastAsia" w:ascii="仿宋_GB2312" w:hAnsi="仿宋_GB2312" w:eastAsia="仿宋_GB2312" w:cs="仿宋_GB2312"/>
                <w:color w:val="auto"/>
                <w:kern w:val="0"/>
                <w:sz w:val="20"/>
                <w:szCs w:val="20"/>
                <w:lang w:val="en-US" w:eastAsia="zh-CN"/>
              </w:rPr>
              <w:t>号）第四十六条：价格认定机构应当根据提出机关提供的价格认定复核申请书和相关材料，决定受理或者不予受理复核。不予受理复核的，价格认定机构应当出具价格认定复核不予受理通知书。</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四十七条：有下列情形之一的，价格认定机构不得受理复核：（一）提出机关不符合本规范第九条要求的；（二）价格认定复核申请书所提异议事项不属于价格认定范围的；（三）申请复核的价格认定事项中，价格认定标的、基准日或者价格内涵与原价格认定协助书所载内容不一致的；（四）提出机关提供的相关材料不齐全，或者提供的材料相互矛盾，且提出机关又不能明确的；（五）国务院价格主管部门的价格认定机构已作出最终复核的；（六）司法机关按照当时的法律已结案，且未进行另外司法程序的；（七）其他不予受理复核的情形。</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.【规范性文件】《国家发展改革委关于印发〈价格认定复核办法〉的通知》（发改价格规〔</w:t>
            </w:r>
            <w:r>
              <w:rPr>
                <w:rFonts w:hint="default" w:ascii="Times New Roman" w:hAnsi="Times New Roman" w:eastAsia="仿宋_GB2312" w:cs="Times New Roman"/>
                <w:color w:val="auto"/>
                <w:kern w:val="0"/>
                <w:sz w:val="20"/>
                <w:szCs w:val="20"/>
                <w:lang w:val="en-US" w:eastAsia="zh-CN"/>
              </w:rPr>
              <w:t>2018</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1343</w:t>
            </w:r>
            <w:r>
              <w:rPr>
                <w:rFonts w:hint="eastAsia" w:ascii="仿宋_GB2312" w:hAnsi="仿宋_GB2312" w:eastAsia="仿宋_GB2312" w:cs="仿宋_GB2312"/>
                <w:color w:val="auto"/>
                <w:kern w:val="0"/>
                <w:sz w:val="20"/>
                <w:szCs w:val="20"/>
                <w:lang w:val="en-US" w:eastAsia="zh-CN"/>
              </w:rPr>
              <w:t>号）。</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.【规范性文件】《国家发展改革委关于印发〈价格认定规定〉的通知》（发改价格〔</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2251</w:t>
            </w:r>
            <w:r>
              <w:rPr>
                <w:rFonts w:hint="eastAsia" w:ascii="仿宋_GB2312" w:hAnsi="仿宋_GB2312" w:eastAsia="仿宋_GB2312" w:cs="仿宋_GB2312"/>
                <w:color w:val="auto"/>
                <w:kern w:val="0"/>
                <w:sz w:val="20"/>
                <w:szCs w:val="20"/>
                <w:lang w:val="en-US" w:eastAsia="zh-CN"/>
              </w:rPr>
              <w:t>号）第十四条：价格认定人员应当根据价格认定对象和目的，按照价格认定工作制度、规则、程序、方法进行价格认定。</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第十五条：价格认定人员应当全面、客观、公正地收集资料作为价格认定依据，并对其真实性、合法性和关联性进行审查。</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.【规范性文件】《国家发展改革委关于印发〈价格认定规定〉的通知》（发改价格〔</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2251</w:t>
            </w:r>
            <w:r>
              <w:rPr>
                <w:rFonts w:hint="eastAsia" w:ascii="仿宋_GB2312" w:hAnsi="仿宋_GB2312" w:eastAsia="仿宋_GB2312" w:cs="仿宋_GB2312"/>
                <w:color w:val="auto"/>
                <w:kern w:val="0"/>
                <w:sz w:val="20"/>
                <w:szCs w:val="20"/>
                <w:lang w:val="en-US" w:eastAsia="zh-CN"/>
              </w:rPr>
              <w:t>号）第十六条：价格认定机构应当对价格认定结论进行内部审核，对重大、疑难的价格认定事项应当进行集体审议。</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.【规范性文件】《国家发展和改革委员会价格认证中心关于印发〈价格认定行为规范〉的通知》（发改价证办〔</w:t>
            </w:r>
            <w:r>
              <w:rPr>
                <w:rFonts w:hint="default" w:ascii="Times New Roman" w:hAnsi="Times New Roman" w:eastAsia="仿宋_GB2312" w:cs="Times New Roman"/>
                <w:color w:val="auto"/>
                <w:kern w:val="0"/>
                <w:sz w:val="20"/>
                <w:szCs w:val="20"/>
                <w:lang w:val="en-US" w:eastAsia="zh-CN"/>
              </w:rPr>
              <w:t>2016</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84</w:t>
            </w:r>
            <w:r>
              <w:rPr>
                <w:rFonts w:hint="eastAsia" w:ascii="仿宋_GB2312" w:hAnsi="仿宋_GB2312" w:eastAsia="仿宋_GB2312" w:cs="仿宋_GB2312"/>
                <w:color w:val="auto"/>
                <w:kern w:val="0"/>
                <w:sz w:val="20"/>
                <w:szCs w:val="20"/>
                <w:lang w:val="en-US" w:eastAsia="zh-CN"/>
              </w:rPr>
              <w:t>号）第五十一条：价格认定机构应当对提出机关提出的异议事项及相关部分进行复核。价格认定机构认为有必要的，可以不受异议事项的限制，对原价格认定涉及的所有内容进行复核。</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 xml:space="preserve">.【地方性法规】《广西壮族自治区赃物估价管理条例》（ </w:t>
            </w:r>
            <w:r>
              <w:rPr>
                <w:rFonts w:hint="default" w:ascii="Times New Roman" w:hAnsi="Times New Roman" w:eastAsia="仿宋_GB2312" w:cs="Times New Roman"/>
                <w:color w:val="auto"/>
                <w:kern w:val="0"/>
                <w:sz w:val="20"/>
                <w:szCs w:val="20"/>
                <w:lang w:val="en-US" w:eastAsia="zh-CN"/>
              </w:rPr>
              <w:t>1994</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日广西壮族自治区人大常委会第九次会议通过）第十六条：物价主管部门工作人员，应当客观公正地估定赃物价格，对于徇私枉法，弄虚作假的，视其情节轻重，由主管部门给予行政处分；构成犯罪的，由司法机关依法追究刑事责任。</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第十七条：行政执法机关、司法机关工作人员擅自变卖赃物的，按照价格管理法规予以处罚，并由其主管部门或者监察部门对直接责任人给予行政处分；构成犯罪的，由司法机关追究刑事责任。</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第十八条：有关单位和个人在罚没、估价、拍卖赃物中，应当做好赃物的保管、交接和监督工作，如发生估价物品遗失、被盗的，负有责任的单位和个人应当赔偿损失。</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.【规范性文件】《国家发展改革委关于印发〈价格认定规定〉的通知》（发改价格〔</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2251</w:t>
            </w:r>
            <w:r>
              <w:rPr>
                <w:rFonts w:hint="eastAsia" w:ascii="仿宋_GB2312" w:hAnsi="仿宋_GB2312" w:eastAsia="仿宋_GB2312" w:cs="仿宋_GB2312"/>
                <w:color w:val="auto"/>
                <w:kern w:val="0"/>
                <w:sz w:val="20"/>
                <w:szCs w:val="20"/>
                <w:lang w:val="en-US" w:eastAsia="zh-CN"/>
              </w:rPr>
              <w:t>号）第十九条：价格认定提出机关对价格认定结论有异议的，可在收到价格认定结论之日起</w:t>
            </w:r>
            <w:r>
              <w:rPr>
                <w:rFonts w:hint="default" w:ascii="Times New Roman" w:hAnsi="Times New Roman" w:eastAsia="仿宋_GB2312" w:cs="Times New Roman"/>
                <w:color w:val="auto"/>
                <w:kern w:val="0"/>
                <w:sz w:val="20"/>
                <w:szCs w:val="20"/>
                <w:lang w:val="en-US" w:eastAsia="zh-CN"/>
              </w:rPr>
              <w:t>60</w:t>
            </w:r>
            <w:r>
              <w:rPr>
                <w:rFonts w:hint="eastAsia" w:ascii="仿宋_GB2312" w:hAnsi="仿宋_GB2312" w:eastAsia="仿宋_GB2312" w:cs="仿宋_GB2312"/>
                <w:color w:val="auto"/>
                <w:kern w:val="0"/>
                <w:sz w:val="20"/>
                <w:szCs w:val="20"/>
                <w:lang w:val="en-US" w:eastAsia="zh-CN"/>
              </w:rPr>
              <w:t>日内，向上一级价格认定机构提出复核。提出复核不得超过两次。</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第二十一条：价格认定机构应当在接受价格认定提出机关提出复核事项之日起</w:t>
            </w:r>
            <w:r>
              <w:rPr>
                <w:rFonts w:hint="default" w:ascii="Times New Roman" w:hAnsi="Times New Roman" w:eastAsia="仿宋_GB2312" w:cs="Times New Roman"/>
                <w:color w:val="auto"/>
                <w:kern w:val="0"/>
                <w:sz w:val="20"/>
                <w:szCs w:val="20"/>
                <w:lang w:val="en-US" w:eastAsia="zh-CN"/>
              </w:rPr>
              <w:t>60</w:t>
            </w:r>
            <w:r>
              <w:rPr>
                <w:rFonts w:hint="eastAsia" w:ascii="仿宋_GB2312" w:hAnsi="仿宋_GB2312" w:eastAsia="仿宋_GB2312" w:cs="仿宋_GB2312"/>
                <w:color w:val="auto"/>
                <w:kern w:val="0"/>
                <w:sz w:val="20"/>
                <w:szCs w:val="20"/>
                <w:lang w:val="en-US" w:eastAsia="zh-CN"/>
              </w:rPr>
              <w:t>日内作出复核决定；另有约定的，在约定期限内作出。</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.【规范性文件】《国家发展改革委关于印发〈价格认定规定〉的通知》（发改价格〔</w:t>
            </w:r>
            <w:r>
              <w:rPr>
                <w:rFonts w:hint="default" w:ascii="Times New Roman" w:hAnsi="Times New Roman" w:eastAsia="仿宋_GB2312" w:cs="Times New Roman"/>
                <w:color w:val="auto"/>
                <w:kern w:val="0"/>
                <w:sz w:val="20"/>
                <w:szCs w:val="20"/>
                <w:lang w:val="en-US" w:eastAsia="zh-CN"/>
              </w:rPr>
              <w:t>2015</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2251</w:t>
            </w:r>
            <w:r>
              <w:rPr>
                <w:rFonts w:hint="eastAsia" w:ascii="仿宋_GB2312" w:hAnsi="仿宋_GB2312" w:eastAsia="仿宋_GB2312" w:cs="仿宋_GB2312"/>
                <w:color w:val="auto"/>
                <w:kern w:val="0"/>
                <w:sz w:val="20"/>
                <w:szCs w:val="20"/>
                <w:lang w:val="en-US" w:eastAsia="zh-CN"/>
              </w:rPr>
              <w:t>号）第二十三条：价格认定机构或者价格认定人员，有下列情形之一的，由任免机关或者监察机关对负有责任的领导人员和直接责任人员给予处分；构成犯罪的，依法追究刑事责任：（一）将依法取得的价格认定资料或者了解的情况用于其他目的的；（二）因主观原因故意或者过失，出具虚假价格认定结论或者价格认定结论有重大差错的；（三）违反法律、法规规定的其他情形。</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 xml:space="preserve">因不履行或不正确履行行政职责，有下列情形的行政机关及相关工作人员承担相应的责任，构成犯罪的，依法追究刑事责任：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.将依法取得的价格认定资料或者了解的情况用于其他目的的；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.因主观故意或者过失，出具虚假价格认定结论或者导致价格认定结论有重大差错的；</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.违反法律法规规定的其他行为。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.【法规】《广西壮族自治区赃物估价管理条例》第十六条 物价主管部门工作人员，应当客观公正地估定赃物价格。对于徇私枉法，弄虚作假的，视其情节轻重，由主管部门给予行政处分；构成犯罪的，由司法机关依法追究刑事责任。</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.【规范性文件】《价格认定规定》（发改价格〔</w:t>
            </w:r>
            <w:r>
              <w:rPr>
                <w:rFonts w:hint="default" w:ascii="Times New Roman" w:hAnsi="Times New Roman" w:eastAsia="仿宋_GB2312" w:cs="Times New Roman"/>
                <w:color w:val="auto"/>
                <w:kern w:val="0"/>
                <w:sz w:val="20"/>
                <w:szCs w:val="20"/>
              </w:rPr>
              <w:t>2015</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2251</w:t>
            </w:r>
            <w:r>
              <w:rPr>
                <w:rFonts w:hint="eastAsia" w:ascii="仿宋_GB2312" w:hAnsi="仿宋_GB2312" w:eastAsia="仿宋_GB2312" w:cs="仿宋_GB2312"/>
                <w:color w:val="auto"/>
                <w:kern w:val="0"/>
                <w:sz w:val="20"/>
                <w:szCs w:val="20"/>
              </w:rPr>
              <w:t>号，</w:t>
            </w:r>
            <w:r>
              <w:rPr>
                <w:rFonts w:hint="default" w:ascii="Times New Roman" w:hAnsi="Times New Roman" w:eastAsia="仿宋_GB2312" w:cs="Times New Roman"/>
                <w:color w:val="auto"/>
                <w:kern w:val="0"/>
                <w:sz w:val="20"/>
                <w:szCs w:val="20"/>
              </w:rPr>
              <w:t>2016</w:t>
            </w:r>
            <w:r>
              <w:rPr>
                <w:rFonts w:hint="eastAsia" w:ascii="仿宋_GB2312" w:hAnsi="仿宋_GB2312" w:eastAsia="仿宋_GB2312" w:cs="仿宋_GB2312"/>
                <w:color w:val="auto"/>
                <w:kern w:val="0"/>
                <w:sz w:val="20"/>
                <w:szCs w:val="20"/>
              </w:rPr>
              <w:t>年</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月</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日施行）第二十三条  价格认定机构或者价格认定人员，有下列情形之一的，由任免机关或者监察机关对负有责任的领导人员和直接责任人员给予处分；构成犯罪的，依法追究刑事责任：（一）将依法取得的价格认定资料或者了解的情况用于其他目的的；（二）因主观故意或者过失，出具虚假价格认定结论或者价格认定结论有重大差错的；（三）违反法律、法规规定的其他行为。</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497"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18</w:t>
            </w:r>
          </w:p>
        </w:tc>
        <w:tc>
          <w:tcPr>
            <w:tcW w:w="645" w:type="dxa"/>
            <w:tcBorders>
              <w:tl2br w:val="nil"/>
              <w:tr2bl w:val="nil"/>
            </w:tcBorders>
            <w:vAlign w:val="center"/>
          </w:tcPr>
          <w:p>
            <w:pPr>
              <w:widowControl/>
              <w:adjustRightInd w:val="0"/>
              <w:snapToGrid w:val="0"/>
              <w:spacing w:line="240" w:lineRule="auto"/>
              <w:jc w:val="center"/>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行政给付</w:t>
            </w:r>
          </w:p>
        </w:tc>
        <w:tc>
          <w:tcPr>
            <w:tcW w:w="615" w:type="dxa"/>
            <w:tcBorders>
              <w:tl2br w:val="nil"/>
              <w:tr2bl w:val="nil"/>
            </w:tcBorders>
            <w:vAlign w:val="center"/>
          </w:tcPr>
          <w:p>
            <w:pPr>
              <w:widowControl/>
              <w:adjustRightInd w:val="0"/>
              <w:snapToGrid w:val="0"/>
              <w:spacing w:line="240" w:lineRule="auto"/>
              <w:jc w:val="both"/>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价格调节基金使用</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lang w:val="en-US" w:eastAsia="zh-CN"/>
              </w:rPr>
            </w:pPr>
          </w:p>
        </w:tc>
        <w:tc>
          <w:tcPr>
            <w:tcW w:w="66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物价股</w:t>
            </w:r>
          </w:p>
        </w:tc>
        <w:tc>
          <w:tcPr>
            <w:tcW w:w="4121"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九条：从事粮食收购的经营者（以下简称粮食收购者），应当具备与其收购粮食品种、数量相适应的能力。从事粮食收购的企业（以下简称粮食收购企业），应当向收购地的县级人民政府粮食和储备行政管理部门备案企业名称、地址、负责人以及仓储设施等信息，备案内容发生变化的，应当及时变更备案。</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eastAsia="zh-CN"/>
              </w:rPr>
              <w:t>县级以上地方人民政府粮食和储备行政管理部门应当加强粮食收购管理和服务，规范粮食收购活动。具体管理办法由省、自治区、直辖市人民政府制定。</w:t>
            </w:r>
            <w:r>
              <w:rPr>
                <w:rFonts w:hint="eastAsia" w:ascii="仿宋_GB2312" w:hAnsi="仿宋_GB2312" w:eastAsia="仿宋_GB2312" w:cs="仿宋_GB2312"/>
                <w:color w:val="auto"/>
                <w:kern w:val="0"/>
                <w:sz w:val="20"/>
                <w:szCs w:val="20"/>
                <w:lang w:val="en-US" w:eastAsia="zh-CN"/>
              </w:rPr>
              <w:t xml:space="preserve"> </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【规范性文件】</w:t>
            </w:r>
            <w:r>
              <w:rPr>
                <w:rFonts w:hint="eastAsia" w:ascii="仿宋_GB2312" w:hAnsi="仿宋_GB2312" w:eastAsia="仿宋_GB2312" w:cs="仿宋_GB2312"/>
                <w:color w:val="auto"/>
                <w:kern w:val="0"/>
                <w:sz w:val="20"/>
                <w:szCs w:val="20"/>
                <w:lang w:val="en-US" w:eastAsia="zh-CN"/>
              </w:rPr>
              <w:t>《广西壮族自治区人民政府关于印发广西壮族自治区粮食收购企业备案管理办法》（桂政发〔</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31</w:t>
            </w:r>
            <w:r>
              <w:rPr>
                <w:rFonts w:hint="eastAsia" w:ascii="仿宋_GB2312" w:hAnsi="仿宋_GB2312" w:eastAsia="仿宋_GB2312" w:cs="仿宋_GB2312"/>
                <w:color w:val="auto"/>
                <w:kern w:val="0"/>
                <w:sz w:val="20"/>
                <w:szCs w:val="20"/>
                <w:lang w:val="en-US" w:eastAsia="zh-CN"/>
              </w:rPr>
              <w:t xml:space="preserve"> 号）第三条：本办法适用于在广西区域范围内从事粮食收购活动的企业（以下简称粮食收购企业），应当向收购地的县级人民政府粮食和储备行政管理部门备案企业名称、统一社会信用代码、负责人、联系电话、通讯地址、资金筹措能力、收购区域、粮食仓储设施、计量设备、检化验仪器设备和人员队伍等情况。</w:t>
            </w:r>
          </w:p>
        </w:tc>
        <w:tc>
          <w:tcPr>
            <w:tcW w:w="2348"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.受理阶段责任：受理依法应当提交的材料；一次性告知补正材料；依法受理或不予受理（不予受理应当告知理由）。</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.审查责任：按照政策规定对书面材料进行审查，提出是否同意备案的初步意见。</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.决定责任：作出同意备案或者不同意备案的决定，法定告知。</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.送达责任：准予备案；信息公开。</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.事后监管责任：建立实施监督检查的运行机制和管理制度，开展定期和不定期检查，依法采取相关处置措施。</w:t>
            </w:r>
          </w:p>
        </w:tc>
        <w:tc>
          <w:tcPr>
            <w:tcW w:w="3806"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号第三次修订）第九条</w:t>
            </w:r>
            <w:r>
              <w:rPr>
                <w:rFonts w:hint="eastAsia" w:eastAsia="仿宋_GB2312"/>
                <w:color w:val="auto"/>
                <w:kern w:val="0"/>
                <w:sz w:val="20"/>
                <w:szCs w:val="20"/>
                <w:lang w:eastAsia="zh-CN"/>
              </w:rPr>
              <w:t>：</w:t>
            </w:r>
            <w:r>
              <w:rPr>
                <w:rFonts w:hint="eastAsia" w:ascii="仿宋_GB2312" w:hAnsi="仿宋_GB2312" w:eastAsia="仿宋_GB2312" w:cs="仿宋_GB2312"/>
                <w:color w:val="auto"/>
                <w:kern w:val="0"/>
                <w:sz w:val="20"/>
                <w:szCs w:val="20"/>
                <w:lang w:eastAsia="zh-CN"/>
              </w:rPr>
              <w:t>从事粮食收购的企业（以下简称粮食收购企业），应当向收购地的县级人民政府粮食和储备行政管理部门备案企业名称、地址、负责人以及仓储设施等信息，备案内容发生变化的，应当及时变更备案。县级以上地方人民政府粮食和储备行政管理部门应当加强粮食收购管理和服务，规范粮食收购活动。</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.【规范性文件】</w:t>
            </w:r>
            <w:r>
              <w:rPr>
                <w:rFonts w:hint="eastAsia" w:ascii="仿宋_GB2312" w:hAnsi="仿宋_GB2312" w:eastAsia="仿宋_GB2312" w:cs="仿宋_GB2312"/>
                <w:color w:val="auto"/>
                <w:kern w:val="0"/>
                <w:sz w:val="20"/>
                <w:szCs w:val="20"/>
                <w:lang w:val="en-US" w:eastAsia="zh-CN"/>
              </w:rPr>
              <w:t>《广西壮族自治区人民政府关于印发广西壮族自治区粮食收购企业备案管理办法》（桂政发〔</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31</w:t>
            </w:r>
            <w:r>
              <w:rPr>
                <w:rFonts w:hint="eastAsia" w:ascii="仿宋_GB2312" w:hAnsi="仿宋_GB2312" w:eastAsia="仿宋_GB2312" w:cs="仿宋_GB2312"/>
                <w:color w:val="auto"/>
                <w:kern w:val="0"/>
                <w:sz w:val="20"/>
                <w:szCs w:val="20"/>
                <w:lang w:val="en-US" w:eastAsia="zh-CN"/>
              </w:rPr>
              <w:t xml:space="preserve"> 号）第三条</w:t>
            </w:r>
            <w:r>
              <w:rPr>
                <w:rFonts w:hint="eastAsia" w:eastAsia="仿宋_GB2312"/>
                <w:color w:val="auto"/>
                <w:kern w:val="0"/>
                <w:sz w:val="20"/>
                <w:szCs w:val="20"/>
                <w:lang w:eastAsia="zh-CN"/>
              </w:rPr>
              <w:t>：</w:t>
            </w:r>
            <w:r>
              <w:rPr>
                <w:rFonts w:hint="eastAsia" w:ascii="仿宋_GB2312" w:hAnsi="仿宋_GB2312" w:eastAsia="仿宋_GB2312" w:cs="仿宋_GB2312"/>
                <w:color w:val="auto"/>
                <w:kern w:val="0"/>
                <w:sz w:val="20"/>
                <w:szCs w:val="20"/>
                <w:lang w:eastAsia="zh-CN"/>
              </w:rPr>
              <w:t>本办法适用于在广西区域范围内从事粮食收购活动的企业（以下简称粮食收购企业），应当向收购地的县级人民政府粮食和储备行政管理部门备案企业名称、统一社会信用代码、负责人、联系电话、通讯地址、资金筹措能力、收购区域、粮食仓储设施、计量设备、检化验仪器设备和人员队伍等情况。</w:t>
            </w:r>
          </w:p>
        </w:tc>
        <w:tc>
          <w:tcPr>
            <w:tcW w:w="2306" w:type="dxa"/>
            <w:tcBorders>
              <w:tl2br w:val="nil"/>
              <w:tr2bl w:val="nil"/>
            </w:tcBorders>
            <w:vAlign w:val="center"/>
          </w:tcPr>
          <w:p>
            <w:pPr>
              <w:wordWrap/>
              <w:adjustRightInd w:val="0"/>
              <w:snapToGrid w:val="0"/>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numPr>
                <w:ilvl w:val="0"/>
                <w:numId w:val="0"/>
              </w:numPr>
              <w:wordWrap/>
              <w:adjustRightInd w:val="0"/>
              <w:snapToGrid w:val="0"/>
              <w:spacing w:before="0" w:after="0" w:line="240" w:lineRule="auto"/>
              <w:ind w:right="0"/>
              <w:outlineLvl w:val="9"/>
              <w:rPr>
                <w:rFonts w:hint="default" w:ascii="Times New Roman" w:hAnsi="Times New Roman" w:eastAsia="仿宋_GB2312" w:cs="Times New Roman"/>
                <w:color w:val="auto"/>
                <w:kern w:val="0"/>
                <w:sz w:val="20"/>
                <w:szCs w:val="20"/>
              </w:rPr>
            </w:pP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 xml:space="preserve"> 1.</w:t>
            </w:r>
            <w:r>
              <w:rPr>
                <w:rFonts w:hint="default" w:ascii="Times New Roman" w:hAnsi="Times New Roman" w:eastAsia="仿宋_GB2312" w:cs="Times New Roman"/>
                <w:color w:val="auto"/>
                <w:kern w:val="0"/>
                <w:sz w:val="20"/>
                <w:szCs w:val="20"/>
              </w:rPr>
              <w:t>违反规定审批使用价格调节基金</w:t>
            </w:r>
            <w:r>
              <w:rPr>
                <w:rFonts w:hint="eastAsia" w:ascii="仿宋_GB2312" w:hAnsi="仿宋_GB2312" w:eastAsia="仿宋_GB2312" w:cs="仿宋_GB2312"/>
                <w:color w:val="auto"/>
                <w:kern w:val="0"/>
                <w:sz w:val="20"/>
                <w:szCs w:val="20"/>
              </w:rPr>
              <w:t>的</w:t>
            </w:r>
            <w:r>
              <w:rPr>
                <w:rFonts w:hint="eastAsia" w:ascii="仿宋_GB2312" w:hAnsi="仿宋_GB2312" w:eastAsia="仿宋_GB2312" w:cs="仿宋_GB2312"/>
                <w:color w:val="auto"/>
                <w:kern w:val="0"/>
                <w:sz w:val="20"/>
                <w:szCs w:val="20"/>
                <w:lang w:eastAsia="zh-CN"/>
              </w:rPr>
              <w:t>；</w:t>
            </w:r>
          </w:p>
          <w:p>
            <w:pPr>
              <w:numPr>
                <w:ilvl w:val="0"/>
                <w:numId w:val="0"/>
              </w:numPr>
              <w:wordWrap/>
              <w:adjustRightInd w:val="0"/>
              <w:snapToGrid w:val="0"/>
              <w:spacing w:before="0" w:after="0" w:line="240" w:lineRule="auto"/>
              <w:ind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2.在审批价格调节基金使用</w:t>
            </w:r>
            <w:r>
              <w:rPr>
                <w:rFonts w:hint="eastAsia" w:ascii="仿宋_GB2312" w:hAnsi="仿宋_GB2312" w:eastAsia="仿宋_GB2312" w:cs="仿宋_GB2312"/>
                <w:color w:val="auto"/>
                <w:kern w:val="0"/>
                <w:sz w:val="20"/>
                <w:szCs w:val="20"/>
              </w:rPr>
              <w:t>过程中出具虚假测算数据的；</w:t>
            </w:r>
          </w:p>
          <w:p>
            <w:pPr>
              <w:numPr>
                <w:ilvl w:val="0"/>
                <w:numId w:val="0"/>
              </w:numPr>
              <w:wordWrap/>
              <w:adjustRightInd w:val="0"/>
              <w:snapToGrid w:val="0"/>
              <w:spacing w:before="0" w:after="0" w:line="240" w:lineRule="auto"/>
              <w:ind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.不按规定的标准、数额、对象审批或者拨款的；</w:t>
            </w:r>
          </w:p>
          <w:p>
            <w:pPr>
              <w:numPr>
                <w:ilvl w:val="0"/>
                <w:numId w:val="0"/>
              </w:numPr>
              <w:wordWrap/>
              <w:adjustRightInd w:val="0"/>
              <w:snapToGrid w:val="0"/>
              <w:spacing w:before="0" w:after="0" w:line="240" w:lineRule="auto"/>
              <w:ind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.在发放价格调节基金工作中利用职权谋取私利的；</w:t>
            </w:r>
          </w:p>
          <w:p>
            <w:pPr>
              <w:numPr>
                <w:ilvl w:val="0"/>
                <w:numId w:val="0"/>
              </w:numPr>
              <w:wordWrap/>
              <w:adjustRightInd w:val="0"/>
              <w:snapToGrid w:val="0"/>
              <w:spacing w:before="0" w:after="0" w:line="240" w:lineRule="auto"/>
              <w:ind w:right="0" w:firstLine="400" w:firstLineChars="200"/>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5</w:t>
            </w:r>
            <w:r>
              <w:rPr>
                <w:rFonts w:hint="eastAsia" w:ascii="仿宋_GB2312" w:hAnsi="仿宋_GB2312" w:eastAsia="仿宋_GB2312" w:cs="仿宋_GB2312"/>
                <w:color w:val="auto"/>
                <w:kern w:val="0"/>
                <w:sz w:val="20"/>
                <w:szCs w:val="20"/>
              </w:rPr>
              <w:t>.除以上追责情形外，其他违反法律法规规章的行为依法追究相应责任。</w:t>
            </w:r>
          </w:p>
        </w:tc>
        <w:tc>
          <w:tcPr>
            <w:tcW w:w="4264" w:type="dxa"/>
            <w:tcBorders>
              <w:tl2br w:val="nil"/>
              <w:tr2bl w:val="nil"/>
            </w:tcBorders>
            <w:vAlign w:val="center"/>
          </w:tcPr>
          <w:p>
            <w:pPr>
              <w:wordWrap/>
              <w:adjustRightInd w:val="0"/>
              <w:snapToGrid w:val="0"/>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wordWrap/>
              <w:adjustRightInd w:val="0"/>
              <w:snapToGrid w:val="0"/>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ordWrap/>
              <w:adjustRightInd w:val="0"/>
              <w:snapToGrid w:val="0"/>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ordWrap/>
              <w:adjustRightInd w:val="0"/>
              <w:snapToGrid w:val="0"/>
              <w:spacing w:before="0" w:after="0" w:line="240" w:lineRule="auto"/>
              <w:ind w:left="0" w:leftChars="0" w:right="0" w:firstLine="400" w:firstLineChars="200"/>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法律】《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tc>
        <w:tc>
          <w:tcPr>
            <w:tcW w:w="960" w:type="dxa"/>
            <w:tcBorders>
              <w:tl2br w:val="nil"/>
              <w:tr2bl w:val="nil"/>
            </w:tcBorders>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497"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19</w:t>
            </w:r>
          </w:p>
        </w:tc>
        <w:tc>
          <w:tcPr>
            <w:tcW w:w="645" w:type="dxa"/>
            <w:tcBorders>
              <w:tl2br w:val="nil"/>
              <w:tr2bl w:val="nil"/>
            </w:tcBorders>
            <w:vAlign w:val="center"/>
          </w:tcPr>
          <w:p>
            <w:pPr>
              <w:widowControl/>
              <w:adjustRightInd w:val="0"/>
              <w:snapToGrid w:val="0"/>
              <w:spacing w:line="240" w:lineRule="auto"/>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其他行政权力</w:t>
            </w:r>
          </w:p>
        </w:tc>
        <w:tc>
          <w:tcPr>
            <w:tcW w:w="615" w:type="dxa"/>
            <w:tcBorders>
              <w:tl2br w:val="nil"/>
              <w:tr2bl w:val="nil"/>
            </w:tcBorders>
            <w:vAlign w:val="center"/>
          </w:tcPr>
          <w:p>
            <w:pPr>
              <w:widowControl/>
              <w:adjustRightInd w:val="0"/>
              <w:snapToGrid w:val="0"/>
              <w:spacing w:line="240" w:lineRule="auto"/>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储备粮收储及轮换管理</w:t>
            </w:r>
          </w:p>
        </w:tc>
        <w:tc>
          <w:tcPr>
            <w:tcW w:w="585" w:type="dxa"/>
            <w:tcBorders>
              <w:tl2br w:val="nil"/>
              <w:tr2bl w:val="nil"/>
            </w:tcBorders>
            <w:vAlign w:val="center"/>
          </w:tcPr>
          <w:p>
            <w:pPr>
              <w:widowControl/>
              <w:adjustRightInd w:val="0"/>
              <w:snapToGrid w:val="0"/>
              <w:spacing w:line="240" w:lineRule="auto"/>
              <w:jc w:val="left"/>
              <w:textAlignment w:val="center"/>
              <w:rPr>
                <w:rFonts w:hint="eastAsia" w:ascii="仿宋_GB2312" w:hAnsi="仿宋_GB2312" w:eastAsia="仿宋_GB2312" w:cs="仿宋_GB2312"/>
                <w:color w:val="auto"/>
                <w:kern w:val="0"/>
                <w:sz w:val="20"/>
                <w:szCs w:val="20"/>
                <w:lang w:val="en-US" w:eastAsia="zh-CN" w:bidi="ar-SA"/>
              </w:rPr>
            </w:pPr>
          </w:p>
        </w:tc>
        <w:tc>
          <w:tcPr>
            <w:tcW w:w="660" w:type="dxa"/>
            <w:tcBorders>
              <w:tl2br w:val="nil"/>
              <w:tr2bl w:val="nil"/>
            </w:tcBorders>
            <w:vAlign w:val="center"/>
          </w:tcPr>
          <w:p>
            <w:pPr>
              <w:widowControl/>
              <w:adjustRightInd w:val="0"/>
              <w:snapToGrid w:val="0"/>
              <w:spacing w:line="240" w:lineRule="auto"/>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widowControl/>
              <w:adjustRightInd w:val="0"/>
              <w:snapToGrid w:val="0"/>
              <w:spacing w:line="240" w:lineRule="auto"/>
              <w:jc w:val="left"/>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粮食物资监督管理股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【地方政府规章】</w:t>
            </w:r>
            <w:r>
              <w:rPr>
                <w:rFonts w:hint="eastAsia" w:ascii="仿宋_GB2312" w:hAnsi="仿宋_GB2312" w:eastAsia="仿宋_GB2312" w:cs="仿宋_GB2312"/>
                <w:color w:val="auto"/>
                <w:kern w:val="0"/>
                <w:sz w:val="20"/>
                <w:szCs w:val="20"/>
                <w:lang w:eastAsia="zh-CN"/>
              </w:rPr>
              <w:t>《广西壮族自治区储备粮管理办法》（</w:t>
            </w:r>
            <w:r>
              <w:rPr>
                <w:rFonts w:hint="default" w:ascii="Times New Roman" w:hAnsi="Times New Roman" w:eastAsia="仿宋_GB2312" w:cs="Times New Roman"/>
                <w:color w:val="auto"/>
                <w:kern w:val="0"/>
                <w:sz w:val="20"/>
                <w:szCs w:val="20"/>
                <w:lang w:eastAsia="zh-CN"/>
              </w:rPr>
              <w:t>200</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13</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w:t>
            </w:r>
            <w:r>
              <w:rPr>
                <w:rFonts w:hint="default" w:ascii="Times New Roman" w:hAnsi="Times New Roman" w:eastAsia="仿宋_GB2312" w:cs="Times New Roman"/>
                <w:color w:val="auto"/>
                <w:kern w:val="0"/>
                <w:sz w:val="20"/>
                <w:szCs w:val="20"/>
                <w:lang w:val="en-US" w:eastAsia="zh-CN"/>
              </w:rPr>
              <w:t>18</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128</w:t>
            </w:r>
            <w:r>
              <w:rPr>
                <w:rFonts w:hint="eastAsia" w:ascii="仿宋_GB2312" w:hAnsi="仿宋_GB2312" w:eastAsia="仿宋_GB2312" w:cs="仿宋_GB2312"/>
                <w:color w:val="auto"/>
                <w:kern w:val="0"/>
                <w:sz w:val="20"/>
                <w:szCs w:val="20"/>
                <w:lang w:eastAsia="zh-CN"/>
              </w:rPr>
              <w:t>号第二次修正）</w:t>
            </w:r>
            <w:r>
              <w:rPr>
                <w:rFonts w:hint="eastAsia" w:ascii="仿宋_GB2312" w:hAnsi="仿宋_GB2312" w:eastAsia="仿宋_GB2312" w:cs="仿宋_GB2312"/>
                <w:color w:val="auto"/>
                <w:kern w:val="0"/>
                <w:sz w:val="20"/>
                <w:szCs w:val="20"/>
              </w:rPr>
              <w:t>第十三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自治区储备粮实行均衡轮换制度，每年轮换的数量一般为自治区储备粮储存总量的</w:t>
            </w:r>
            <w:r>
              <w:rPr>
                <w:rFonts w:hint="default" w:ascii="Times New Roman" w:hAnsi="Times New Roman" w:eastAsia="仿宋_GB2312" w:cs="Times New Roman"/>
                <w:color w:val="auto"/>
                <w:kern w:val="0"/>
                <w:sz w:val="20"/>
                <w:szCs w:val="20"/>
              </w:rPr>
              <w:t>30</w:t>
            </w:r>
            <w:r>
              <w:rPr>
                <w:rFonts w:hint="eastAsia" w:ascii="仿宋_GB2312" w:hAnsi="仿宋_GB2312" w:eastAsia="仿宋_GB2312" w:cs="仿宋_GB2312"/>
                <w:color w:val="auto"/>
                <w:kern w:val="0"/>
                <w:sz w:val="20"/>
                <w:szCs w:val="20"/>
              </w:rPr>
              <w:t>%。具体轮换计划由自治区储备粮管理机构提出，报自治区粮食行政管理、财政部门和中国农业发展银行广西区分行批准。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第四十五</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市、县级储备粮管理参照本办法执行。</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.计划制定阶段责任：根据法律、行政法规规定的职责，结合本地实际情况，由自治区储备粮管理机构提出，报自治区粮食行政管理、财政部门和中国农业发展银行广西区分行批准。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.下达文件阶段责任：由自治区粮食行政管理部门会同自治区发展改革、财政部 门和中国农业发展银行广西区分行共同下达，由自治区储备粮管 理机构组织实施。</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.事后监督责任：对由自治区粮食行政管理部门会同自治区发展改革、财政部 门和中国农业发展银行广西区分行共同下达，由自治区储备粮管 理机构组织实施情况进行检查。</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.【地方政府规章】</w:t>
            </w:r>
            <w:r>
              <w:rPr>
                <w:rFonts w:hint="eastAsia" w:ascii="仿宋_GB2312" w:hAnsi="仿宋_GB2312" w:eastAsia="仿宋_GB2312" w:cs="仿宋_GB2312"/>
                <w:color w:val="auto"/>
                <w:kern w:val="0"/>
                <w:sz w:val="20"/>
                <w:szCs w:val="20"/>
                <w:lang w:eastAsia="zh-CN"/>
              </w:rPr>
              <w:t>《广西壮族自治区储备粮管理办法》（</w:t>
            </w:r>
            <w:r>
              <w:rPr>
                <w:rFonts w:hint="default" w:ascii="Times New Roman" w:hAnsi="Times New Roman" w:eastAsia="仿宋_GB2312" w:cs="Times New Roman"/>
                <w:color w:val="auto"/>
                <w:kern w:val="0"/>
                <w:sz w:val="20"/>
                <w:szCs w:val="20"/>
                <w:lang w:eastAsia="zh-CN"/>
              </w:rPr>
              <w:t>200</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13</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w:t>
            </w:r>
            <w:r>
              <w:rPr>
                <w:rFonts w:hint="default" w:ascii="Times New Roman" w:hAnsi="Times New Roman" w:eastAsia="仿宋_GB2312" w:cs="Times New Roman"/>
                <w:color w:val="auto"/>
                <w:kern w:val="0"/>
                <w:sz w:val="20"/>
                <w:szCs w:val="20"/>
                <w:lang w:val="en-US" w:eastAsia="zh-CN"/>
              </w:rPr>
              <w:t>18</w:t>
            </w:r>
            <w:r>
              <w:rPr>
                <w:rFonts w:hint="eastAsia" w:ascii="仿宋_GB2312" w:hAnsi="仿宋_GB2312" w:eastAsia="仿宋_GB2312" w:cs="仿宋_GB2312"/>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128</w:t>
            </w:r>
            <w:r>
              <w:rPr>
                <w:rFonts w:hint="eastAsia" w:ascii="仿宋_GB2312" w:hAnsi="仿宋_GB2312" w:eastAsia="仿宋_GB2312" w:cs="仿宋_GB2312"/>
                <w:color w:val="auto"/>
                <w:kern w:val="0"/>
                <w:sz w:val="20"/>
                <w:szCs w:val="20"/>
                <w:lang w:eastAsia="zh-CN"/>
              </w:rPr>
              <w:t>号第二次修正）</w:t>
            </w:r>
            <w:r>
              <w:rPr>
                <w:rFonts w:hint="eastAsia" w:ascii="仿宋_GB2312" w:hAnsi="仿宋_GB2312" w:eastAsia="仿宋_GB2312" w:cs="仿宋_GB2312"/>
                <w:color w:val="auto"/>
                <w:kern w:val="0"/>
                <w:sz w:val="20"/>
                <w:szCs w:val="20"/>
              </w:rPr>
              <w:t>第十二条：自治区储备粮的储存品种、布局以及收购、销售计划，由自治区粮食行政管理部门会同自治区发展改革、财政部门和中国农业发展银行广西区分行共同下达，由自治区储备粮管理机构组织实施。</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第十三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自治区储备粮实行均衡轮换制度，每年轮换的数量一般为自治区储备粮储存总量的</w:t>
            </w:r>
            <w:r>
              <w:rPr>
                <w:rFonts w:hint="default" w:ascii="Times New Roman" w:hAnsi="Times New Roman" w:eastAsia="仿宋_GB2312" w:cs="Times New Roman"/>
                <w:color w:val="auto"/>
                <w:kern w:val="0"/>
                <w:sz w:val="20"/>
                <w:szCs w:val="20"/>
              </w:rPr>
              <w:t>30</w:t>
            </w:r>
            <w:r>
              <w:rPr>
                <w:rFonts w:hint="eastAsia" w:ascii="仿宋_GB2312" w:hAnsi="仿宋_GB2312" w:eastAsia="仿宋_GB2312" w:cs="仿宋_GB2312"/>
                <w:color w:val="auto"/>
                <w:kern w:val="0"/>
                <w:sz w:val="20"/>
                <w:szCs w:val="20"/>
              </w:rPr>
              <w:t>%。具体轮换计划由自治区储备粮管理机构提出，报自治区粮食行政管理、财政部门和中国 农业发展银行广西区分行批准。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第四十五条：市、县级储备粮管理</w:t>
            </w:r>
            <w:r>
              <w:rPr>
                <w:rFonts w:hint="eastAsia" w:ascii="仿宋_GB2312" w:hAnsi="仿宋_GB2312" w:eastAsia="仿宋_GB2312" w:cs="仿宋_GB2312"/>
                <w:color w:val="auto"/>
                <w:kern w:val="0"/>
                <w:sz w:val="20"/>
                <w:szCs w:val="20"/>
                <w:lang w:eastAsia="zh-CN"/>
              </w:rPr>
              <w:t>参照</w:t>
            </w:r>
            <w:r>
              <w:rPr>
                <w:rFonts w:hint="eastAsia" w:ascii="仿宋_GB2312" w:hAnsi="仿宋_GB2312" w:eastAsia="仿宋_GB2312" w:cs="仿宋_GB2312"/>
                <w:color w:val="auto"/>
                <w:kern w:val="0"/>
                <w:sz w:val="20"/>
                <w:szCs w:val="20"/>
              </w:rPr>
              <w:t>本办法执行。</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.同</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因不履行或不正确履行行政职责，有下列情形的，行政机关及相关工作人员应承担相应责任：</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.符合条件的申请不予受理的；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.向申请单位和个人收取费用的；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.工作中滥用职权.徇私舞弊、玩忽职守造成不良后果的；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.工作中发生贪污腐败行为的；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.其他违反法律法规规章文件规定。</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.【法律】《中华人民共和国公务员法》（</w:t>
            </w:r>
            <w:r>
              <w:rPr>
                <w:rFonts w:hint="default" w:ascii="Times New Roman" w:hAnsi="Times New Roman" w:eastAsia="仿宋_GB2312" w:cs="Times New Roman"/>
                <w:color w:val="auto"/>
                <w:kern w:val="0"/>
                <w:sz w:val="20"/>
                <w:szCs w:val="20"/>
                <w:lang w:val="en-US" w:eastAsia="zh-CN"/>
              </w:rPr>
              <w:t>2005</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27</w:t>
            </w:r>
            <w:r>
              <w:rPr>
                <w:rFonts w:hint="eastAsia" w:ascii="仿宋_GB2312" w:hAnsi="仿宋_GB2312" w:eastAsia="仿宋_GB2312" w:cs="仿宋_GB2312"/>
                <w:color w:val="auto"/>
                <w:kern w:val="0"/>
                <w:sz w:val="20"/>
                <w:szCs w:val="20"/>
                <w:lang w:val="en-US" w:eastAsia="zh-CN"/>
              </w:rPr>
              <w:t xml:space="preserve">日中华人民共和国主席令第三十五号公布 </w:t>
            </w:r>
            <w:r>
              <w:rPr>
                <w:rFonts w:hint="default" w:ascii="Times New Roman" w:hAnsi="Times New Roman" w:eastAsia="仿宋_GB2312" w:cs="Times New Roman"/>
                <w:color w:val="auto"/>
                <w:kern w:val="0"/>
                <w:sz w:val="20"/>
                <w:szCs w:val="20"/>
                <w:lang w:val="en-US" w:eastAsia="zh-CN"/>
              </w:rPr>
              <w:t>2006</w:t>
            </w:r>
            <w:r>
              <w:rPr>
                <w:rFonts w:hint="eastAsia" w:ascii="仿宋_GB2312" w:hAnsi="仿宋_GB2312" w:eastAsia="仿宋_GB2312" w:cs="仿宋_GB2312"/>
                <w:color w:val="auto"/>
                <w:kern w:val="0"/>
                <w:sz w:val="20"/>
                <w:szCs w:val="20"/>
                <w:lang w:val="en-US" w:eastAsia="zh-CN"/>
              </w:rPr>
              <w:t>年</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月</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日起施行）第五十三条：“公务员必须遵守纪律，不得有下列行为：玩忽职守，贻误工作。”</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eastAsia="zh-CN"/>
              </w:rPr>
              <w:t xml:space="preserve">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.【法规】《行政机关公务员处分条例》（国务院令第</w:t>
            </w:r>
            <w:r>
              <w:rPr>
                <w:rFonts w:hint="default" w:ascii="Times New Roman" w:hAnsi="Times New Roman" w:eastAsia="仿宋_GB2312" w:cs="Times New Roman"/>
                <w:color w:val="auto"/>
                <w:kern w:val="0"/>
                <w:sz w:val="20"/>
                <w:szCs w:val="20"/>
                <w:lang w:val="en-US" w:eastAsia="zh-CN"/>
              </w:rPr>
              <w:t>495</w:t>
            </w:r>
            <w:r>
              <w:rPr>
                <w:rFonts w:hint="eastAsia" w:ascii="仿宋_GB2312" w:hAnsi="仿宋_GB2312" w:eastAsia="仿宋_GB2312" w:cs="仿宋_GB2312"/>
                <w:color w:val="auto"/>
                <w:kern w:val="0"/>
                <w:sz w:val="20"/>
                <w:szCs w:val="20"/>
                <w:lang w:val="en-US" w:eastAsia="zh-CN"/>
              </w:rPr>
              <w:t>号）第二十三条：“有贪污、索贿、受贿、行贿、介绍贿赂、挪用公款、利用职务之便为自己或者他人谋取私利、巨额财产来源不明等违反廉政纪律行为的，给予记过或者记大过处分；情节较重的，给予降级或者撤职。</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eastAsia="zh-CN"/>
              </w:rPr>
              <w:t xml:space="preserve">    </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.【法规】《行政机关公务员处分条例》（国务院令第</w:t>
            </w:r>
            <w:r>
              <w:rPr>
                <w:rFonts w:hint="default" w:ascii="Times New Roman" w:hAnsi="Times New Roman" w:eastAsia="仿宋_GB2312" w:cs="Times New Roman"/>
                <w:color w:val="auto"/>
                <w:kern w:val="0"/>
                <w:sz w:val="20"/>
                <w:szCs w:val="20"/>
                <w:lang w:val="en-US" w:eastAsia="zh-CN"/>
              </w:rPr>
              <w:t>495</w:t>
            </w:r>
            <w:r>
              <w:rPr>
                <w:rFonts w:hint="eastAsia" w:ascii="仿宋_GB2312" w:hAnsi="仿宋_GB2312" w:eastAsia="仿宋_GB2312" w:cs="仿宋_GB2312"/>
                <w:color w:val="auto"/>
                <w:kern w:val="0"/>
                <w:sz w:val="20"/>
                <w:szCs w:val="20"/>
                <w:lang w:val="en-US" w:eastAsia="zh-CN"/>
              </w:rPr>
              <w:t>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lang w:eastAsia="zh-CN"/>
              </w:rPr>
              <w:t xml:space="preserve">   </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.同</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 xml:space="preserve">.                                                            </w:t>
            </w:r>
          </w:p>
        </w:tc>
        <w:tc>
          <w:tcPr>
            <w:tcW w:w="960" w:type="dxa"/>
            <w:tcBorders>
              <w:tl2br w:val="nil"/>
              <w:tr2bl w:val="nil"/>
            </w:tcBorders>
            <w:vAlign w:val="center"/>
          </w:tcPr>
          <w:p>
            <w:pPr>
              <w:widowControl/>
              <w:adjustRightInd w:val="0"/>
              <w:snapToGrid w:val="0"/>
              <w:spacing w:line="240" w:lineRule="auto"/>
              <w:jc w:val="left"/>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法律法规规章规定的免责情形及市委、市人民政府有关文件中明确的免责情形。</w:t>
            </w:r>
            <w:r>
              <w:rPr>
                <w:rFonts w:hint="eastAsia" w:ascii="仿宋_GB2312" w:hAnsi="仿宋_GB2312" w:eastAsia="仿宋_GB2312" w:cs="仿宋_GB2312"/>
                <w:color w:val="auto"/>
                <w:kern w:val="0"/>
                <w:sz w:val="20"/>
                <w:szCs w:val="20"/>
                <w:lang w:val="en-US" w:eastAsia="zh-CN"/>
              </w:rPr>
              <w:t xml:space="preserve">                                                    </w:t>
            </w:r>
          </w:p>
        </w:tc>
        <w:tc>
          <w:tcPr>
            <w:tcW w:w="675" w:type="dxa"/>
            <w:tcBorders>
              <w:tl2br w:val="nil"/>
              <w:tr2bl w:val="nil"/>
            </w:tcBorders>
            <w:vAlign w:val="center"/>
          </w:tcPr>
          <w:p>
            <w:pPr>
              <w:widowControl/>
              <w:adjustRightInd w:val="0"/>
              <w:snapToGrid w:val="0"/>
              <w:spacing w:line="240" w:lineRule="auto"/>
              <w:ind w:firstLine="400" w:firstLineChars="200"/>
              <w:textAlignment w:val="center"/>
              <w:rPr>
                <w:rFonts w:hint="eastAsia"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51"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20</w:t>
            </w:r>
          </w:p>
        </w:tc>
        <w:tc>
          <w:tcPr>
            <w:tcW w:w="64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0"/>
                <w:szCs w:val="20"/>
                <w:shd w:val="clear" w:color="080000" w:fill="FFFFFF"/>
              </w:rPr>
            </w:pPr>
            <w:r>
              <w:rPr>
                <w:rFonts w:hint="eastAsia" w:ascii="仿宋_GB2312" w:hAnsi="仿宋_GB2312" w:eastAsia="仿宋_GB2312" w:cs="仿宋_GB2312"/>
                <w:i w:val="0"/>
                <w:iCs w:val="0"/>
                <w:caps w:val="0"/>
                <w:color w:val="auto"/>
                <w:spacing w:val="0"/>
                <w:sz w:val="20"/>
                <w:szCs w:val="20"/>
                <w:shd w:val="clear" w:color="080000" w:fill="FFFFFF"/>
                <w:lang w:eastAsia="zh-CN"/>
              </w:rPr>
              <w:t>其</w:t>
            </w:r>
            <w:r>
              <w:rPr>
                <w:rFonts w:hint="eastAsia" w:ascii="仿宋_GB2312" w:hAnsi="仿宋_GB2312" w:eastAsia="仿宋_GB2312" w:cs="仿宋_GB2312"/>
                <w:i w:val="0"/>
                <w:iCs w:val="0"/>
                <w:caps w:val="0"/>
                <w:color w:val="auto"/>
                <w:spacing w:val="0"/>
                <w:sz w:val="20"/>
                <w:szCs w:val="20"/>
                <w:shd w:val="clear" w:color="080000" w:fill="FFFFFF"/>
              </w:rPr>
              <w:t>他行政权力</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val="en-US" w:eastAsia="zh-CN"/>
              </w:rPr>
              <w:t>制定或调整权限内实行政府指导价、政府定价的商品和服务价格</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物价股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价格法》第二十条：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权限和具体适用范围制定在本地区执行的政府指导价、政府定价。</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.【部门规章】《政府制定价格行为规则》（</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号）第三条：国家实行并完善主要由市场决定价格的机制。政府制定价格的范围主要为重要公用事业、公益性服务和自然垄断经营的商品和服务等，具体以中央定价目录和地方定价目录为准。经省、自治区、直辖市人民政府授权的市、县人民政府制定价格，具体工作由其所属价格主管部门或者有关部门负责。定价机关应当按照法定的权限制定价格，不得越权定价。</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.【规范性文件】《广西壮族自治区定价目录》</w:t>
            </w:r>
            <w:r>
              <w:rPr>
                <w:rFonts w:hint="eastAsia" w:ascii="仿宋_GB2312" w:hAnsi="仿宋_GB2312" w:eastAsia="仿宋_GB2312" w:cs="仿宋_GB2312"/>
                <w:color w:val="auto"/>
                <w:kern w:val="0"/>
                <w:sz w:val="20"/>
                <w:szCs w:val="20"/>
                <w:highlight w:val="none"/>
              </w:rPr>
              <w:t>（桂发改收费规（</w:t>
            </w:r>
            <w:r>
              <w:rPr>
                <w:rFonts w:hint="default" w:ascii="Times New Roman" w:hAnsi="Times New Roman" w:eastAsia="仿宋_GB2312" w:cs="Times New Roman"/>
                <w:color w:val="auto"/>
                <w:kern w:val="0"/>
                <w:sz w:val="20"/>
                <w:szCs w:val="20"/>
                <w:highlight w:val="none"/>
              </w:rPr>
              <w:t>2021</w:t>
            </w:r>
            <w:r>
              <w:rPr>
                <w:rFonts w:hint="eastAsia" w:ascii="仿宋_GB2312" w:hAnsi="仿宋_GB2312" w:eastAsia="仿宋_GB2312" w:cs="仿宋_GB2312"/>
                <w:color w:val="auto"/>
                <w:kern w:val="0"/>
                <w:sz w:val="20"/>
                <w:szCs w:val="20"/>
                <w:highlight w:val="none"/>
              </w:rPr>
              <w:t>）</w:t>
            </w:r>
            <w:r>
              <w:rPr>
                <w:rFonts w:hint="default" w:ascii="Times New Roman" w:hAnsi="Times New Roman" w:eastAsia="仿宋_GB2312" w:cs="Times New Roman"/>
                <w:color w:val="auto"/>
                <w:kern w:val="0"/>
                <w:sz w:val="20"/>
                <w:szCs w:val="20"/>
                <w:highlight w:val="none"/>
              </w:rPr>
              <w:t>1224</w:t>
            </w:r>
            <w:r>
              <w:rPr>
                <w:rFonts w:hint="eastAsia" w:ascii="仿宋_GB2312" w:hAnsi="仿宋_GB2312" w:eastAsia="仿宋_GB2312" w:cs="仿宋_GB2312"/>
                <w:color w:val="auto"/>
                <w:kern w:val="0"/>
                <w:sz w:val="20"/>
                <w:szCs w:val="20"/>
                <w:highlight w:val="none"/>
              </w:rPr>
              <w:t>号）</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.受理责任：公布依法应当提交的材料；当场一次性告知补正材料；依法受理或不予受理（不予受理应当告知理由）；</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.审理责任：承办人深入调研、充分论证，履行规定程序后提出意见；</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.决定责任：依据有关规定作出决定（不予制定或调整价格的应当告知理由），按时办结；</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.送达责任：通知申请人到政务服务大厅领取审批结果或按申请人要求邮寄送达、信息公开；并按规定向社会公开，接受社会监督。</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.其他法律法规规章文件规定应履行的责任。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.【法律】《中华人民共和国价格法》第二十四条：政府指导价、政府定价制定后，由制定价格的部门向消费者、经营者公布。</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法律】《中华人民共和国价格法》第二十五条：政府指导价、政府定价的具体适用范围、价格水平，应当根据经济运行情况，按照规定的定价权限和程序适时调整。消费者、经营者可以对政府指导价、政府定价提出调整建议。</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.【部门规章】《政府制定价格行为规则》（</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号）第九条：定价机关制定价格，应当履行价格调查、成本监审或者成本调查、听取社会意见、合法性审查、集体审议、作出制定价格的决定等程序。</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.【部门规章】《政府制定价格行为规则》（</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号）第二十五条：经营者、消费者、政府相关部门及有关方面（以下简称建议人）可以向定价机关提出制定价格的建议。建议内容主要包括建议制定价格的具体商品或者服务名称、建议价格、依据和理由等。</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.【部门规章】《政府制定价格行为规则》（</w:t>
            </w:r>
            <w:r>
              <w:rPr>
                <w:rFonts w:hint="default" w:ascii="Times New Roman" w:hAnsi="Times New Roman" w:eastAsia="仿宋_GB2312" w:cs="Times New Roman"/>
                <w:color w:val="auto"/>
                <w:kern w:val="0"/>
                <w:sz w:val="20"/>
                <w:szCs w:val="20"/>
                <w:lang w:val="en-US" w:eastAsia="zh-CN"/>
              </w:rPr>
              <w:t>2017</w:t>
            </w:r>
            <w:r>
              <w:rPr>
                <w:rFonts w:hint="eastAsia" w:ascii="仿宋_GB2312" w:hAnsi="仿宋_GB2312" w:eastAsia="仿宋_GB2312" w:cs="仿宋_GB2312"/>
                <w:color w:val="auto"/>
                <w:kern w:val="0"/>
                <w:sz w:val="20"/>
                <w:szCs w:val="20"/>
                <w:lang w:val="en-US" w:eastAsia="zh-CN"/>
              </w:rPr>
              <w:t>年国家发展改革委令第</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号）第二十六条：制定价格有建议人的，定价机关应当以适当的方式将建议办理情况告知建议人。</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 确履行行政职责，有 下列情形的行政机关 及相关工作人员应承 担相应的责任：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．对符合法定 条件的项目不予受理 、许可的；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2</w:t>
            </w:r>
            <w:r>
              <w:rPr>
                <w:rFonts w:hint="eastAsia" w:ascii="仿宋_GB2312" w:hAnsi="仿宋_GB2312" w:eastAsia="仿宋_GB2312" w:cs="仿宋_GB2312"/>
                <w:color w:val="auto"/>
                <w:kern w:val="0"/>
                <w:sz w:val="20"/>
                <w:szCs w:val="20"/>
              </w:rPr>
              <w:t>．对不符合有 关法律法规的项目而 予以审核同意的；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rPr>
              <w:t>．未严格审查 申报材料，造成纠纷 或财产损失的；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rPr>
              <w:t>．监管不力或 怠于履行职责的；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rPr>
              <w:t>．擅自增设、 变更涉及项目的审查 程序或核准条件的；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6</w:t>
            </w:r>
            <w:r>
              <w:rPr>
                <w:rFonts w:hint="eastAsia" w:ascii="仿宋_GB2312" w:hAnsi="仿宋_GB2312" w:eastAsia="仿宋_GB2312" w:cs="仿宋_GB2312"/>
                <w:color w:val="auto"/>
                <w:kern w:val="0"/>
                <w:sz w:val="20"/>
                <w:szCs w:val="20"/>
              </w:rPr>
              <w:t>．在项目监管 中滥用职权、玩忽职 守、徇私舞弊，造成 较大损失的；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7</w:t>
            </w:r>
            <w:r>
              <w:rPr>
                <w:rFonts w:hint="eastAsia" w:ascii="仿宋_GB2312" w:hAnsi="仿宋_GB2312" w:eastAsia="仿宋_GB2312" w:cs="仿宋_GB2312"/>
                <w:color w:val="auto"/>
                <w:kern w:val="0"/>
                <w:sz w:val="20"/>
                <w:szCs w:val="20"/>
              </w:rPr>
              <w:t>．其他违反法 律法规规定的行为。</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w:t>
            </w: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.【法律】《中华人民共和国价格法》（中华人民共和国主席令</w:t>
            </w:r>
            <w:r>
              <w:rPr>
                <w:rFonts w:hint="eastAsia" w:ascii="仿宋_GB2312" w:hAnsi="仿宋_GB2312" w:eastAsia="仿宋_GB2312" w:cs="仿宋_GB2312"/>
                <w:color w:val="auto"/>
                <w:kern w:val="0"/>
                <w:sz w:val="20"/>
                <w:szCs w:val="20"/>
              </w:rPr>
              <w:t>第</w:t>
            </w:r>
            <w:r>
              <w:rPr>
                <w:rFonts w:hint="default" w:ascii="仿宋_GB2312" w:hAnsi="仿宋_GB2312" w:eastAsia="仿宋_GB2312" w:cs="仿宋_GB2312"/>
                <w:color w:val="auto"/>
                <w:kern w:val="0"/>
                <w:sz w:val="20"/>
                <w:szCs w:val="20"/>
              </w:rPr>
              <w:t>92</w:t>
            </w:r>
            <w:r>
              <w:rPr>
                <w:rFonts w:hint="eastAsia" w:ascii="仿宋_GB2312" w:hAnsi="仿宋_GB2312" w:eastAsia="仿宋_GB2312" w:cs="仿宋_GB2312"/>
                <w:color w:val="auto"/>
                <w:kern w:val="0"/>
                <w:sz w:val="20"/>
                <w:szCs w:val="20"/>
              </w:rPr>
              <w:t xml:space="preserve">号）第四十六条 价格工作人员泄 露国家秘密、商业秘密以及滥用职权、徇私舞弊、玩忽 职守、索贿受贿，构成犯罪的，依法追究刑事责任；尚 不构成犯罪的，依法给予处分。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w:t>
            </w:r>
            <w:r>
              <w:rPr>
                <w:rFonts w:hint="default" w:ascii="仿宋_GB2312" w:hAnsi="仿宋_GB2312" w:eastAsia="仿宋_GB2312" w:cs="仿宋_GB2312"/>
                <w:color w:val="auto"/>
                <w:kern w:val="0"/>
                <w:sz w:val="20"/>
                <w:szCs w:val="20"/>
              </w:rPr>
              <w:t>2</w:t>
            </w:r>
            <w:r>
              <w:rPr>
                <w:rFonts w:hint="eastAsia" w:ascii="仿宋_GB2312" w:hAnsi="仿宋_GB2312" w:eastAsia="仿宋_GB2312" w:cs="仿宋_GB2312"/>
                <w:color w:val="auto"/>
                <w:kern w:val="0"/>
                <w:sz w:val="20"/>
                <w:szCs w:val="20"/>
              </w:rPr>
              <w:t>.【法规】《行政机关公务员处分条例》（国务 院令第</w:t>
            </w:r>
            <w:r>
              <w:rPr>
                <w:rFonts w:hint="default" w:ascii="仿宋_GB2312" w:hAnsi="仿宋_GB2312" w:eastAsia="仿宋_GB2312" w:cs="仿宋_GB2312"/>
                <w:color w:val="auto"/>
                <w:kern w:val="0"/>
                <w:sz w:val="20"/>
                <w:szCs w:val="20"/>
              </w:rPr>
              <w:t>495</w:t>
            </w:r>
            <w:r>
              <w:rPr>
                <w:rFonts w:hint="eastAsia" w:ascii="仿宋_GB2312" w:hAnsi="仿宋_GB2312" w:eastAsia="仿宋_GB2312" w:cs="仿宋_GB2312"/>
                <w:color w:val="auto"/>
                <w:kern w:val="0"/>
                <w:sz w:val="20"/>
                <w:szCs w:val="20"/>
              </w:rPr>
              <w:t>号）第二十条： 有下列行为之一的，给予 记过、记大过处分；情节较重的，给予降级或者撤职处 分；情节严重的，给予开除处分：（四）其他玩忽职守 、贻误工作的行为。  。 第二十五条： 有下</w:t>
            </w:r>
            <w:bookmarkStart w:id="0" w:name="_GoBack"/>
            <w:bookmarkEnd w:id="0"/>
            <w:r>
              <w:rPr>
                <w:rFonts w:hint="eastAsia" w:ascii="仿宋_GB2312" w:hAnsi="仿宋_GB2312" w:eastAsia="仿宋_GB2312" w:cs="仿宋_GB2312"/>
                <w:color w:val="auto"/>
                <w:kern w:val="0"/>
                <w:sz w:val="20"/>
                <w:szCs w:val="20"/>
              </w:rPr>
              <w:t xml:space="preserve">列行为 之一的，给予记过或者记大过处分；情节较重的，给予 降级或者撤职处分；情节严重的，给予开除处分：（五）其他滥用职权，侵害公民、法人或者其他组织合 法权益的行为。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2</w:t>
            </w:r>
            <w:r>
              <w:rPr>
                <w:rFonts w:hint="eastAsia" w:ascii="仿宋_GB2312" w:hAnsi="仿宋_GB2312" w:eastAsia="仿宋_GB2312" w:cs="仿宋_GB2312"/>
                <w:color w:val="auto"/>
                <w:kern w:val="0"/>
                <w:sz w:val="20"/>
                <w:szCs w:val="20"/>
              </w:rPr>
              <w:t>.同</w:t>
            </w: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rPr>
              <w:t>.同</w:t>
            </w: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4</w:t>
            </w:r>
            <w:r>
              <w:rPr>
                <w:rFonts w:hint="eastAsia" w:ascii="仿宋_GB2312" w:hAnsi="仿宋_GB2312" w:eastAsia="仿宋_GB2312" w:cs="仿宋_GB2312"/>
                <w:color w:val="auto"/>
                <w:kern w:val="0"/>
                <w:sz w:val="20"/>
                <w:szCs w:val="20"/>
              </w:rPr>
              <w:t>.同</w:t>
            </w: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rPr>
              <w:t>.同</w:t>
            </w: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6</w:t>
            </w:r>
            <w:r>
              <w:rPr>
                <w:rFonts w:hint="eastAsia" w:ascii="仿宋_GB2312" w:hAnsi="仿宋_GB2312" w:eastAsia="仿宋_GB2312" w:cs="仿宋_GB2312"/>
                <w:color w:val="auto"/>
                <w:kern w:val="0"/>
                <w:sz w:val="20"/>
                <w:szCs w:val="20"/>
              </w:rPr>
              <w:t>.同</w:t>
            </w: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rPr>
              <w:t>-</w:t>
            </w:r>
            <w:r>
              <w:rPr>
                <w:rFonts w:hint="default" w:ascii="仿宋_GB2312" w:hAnsi="仿宋_GB2312" w:eastAsia="仿宋_GB2312" w:cs="仿宋_GB2312"/>
                <w:color w:val="auto"/>
                <w:kern w:val="0"/>
                <w:sz w:val="20"/>
                <w:szCs w:val="20"/>
              </w:rPr>
              <w:t>3</w:t>
            </w:r>
            <w:r>
              <w:rPr>
                <w:rFonts w:hint="eastAsia" w:ascii="仿宋_GB2312" w:hAnsi="仿宋_GB2312" w:eastAsia="仿宋_GB2312" w:cs="仿宋_GB2312"/>
                <w:color w:val="auto"/>
                <w:kern w:val="0"/>
                <w:sz w:val="20"/>
                <w:szCs w:val="20"/>
              </w:rPr>
              <w:t xml:space="preserve">【法律】《中华人民共和国公务员法》一百零八条 公务员主管部门的工作人员，违反本法规定，滥用职权、玩忽职守、徇私舞弊，构成犯罪的，依法追究刑事责任；尚不构成犯罪的，给予处分或者由监察机关依法给予政务处分。  </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51"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21</w:t>
            </w:r>
          </w:p>
        </w:tc>
        <w:tc>
          <w:tcPr>
            <w:tcW w:w="645" w:type="dxa"/>
            <w:tcBorders>
              <w:tl2br w:val="nil"/>
              <w:tr2bl w:val="nil"/>
            </w:tcBorders>
            <w:vAlign w:val="center"/>
          </w:tcPr>
          <w:p>
            <w:pPr>
              <w:widowControl/>
              <w:adjustRightInd w:val="0"/>
              <w:snapToGrid w:val="0"/>
              <w:spacing w:line="240" w:lineRule="auto"/>
              <w:jc w:val="center"/>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其他行政权力</w:t>
            </w:r>
          </w:p>
        </w:tc>
        <w:tc>
          <w:tcPr>
            <w:tcW w:w="615" w:type="dxa"/>
            <w:tcBorders>
              <w:tl2br w:val="nil"/>
              <w:tr2bl w:val="nil"/>
            </w:tcBorders>
            <w:vAlign w:val="center"/>
          </w:tcPr>
          <w:p>
            <w:pPr>
              <w:widowControl/>
              <w:adjustRightInd w:val="0"/>
              <w:snapToGrid w:val="0"/>
              <w:spacing w:line="240" w:lineRule="auto"/>
              <w:jc w:val="both"/>
              <w:textAlignment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对企业实施强制性清洁生产审核的情况进行监督</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投资股</w:t>
            </w:r>
          </w:p>
        </w:tc>
        <w:tc>
          <w:tcPr>
            <w:tcW w:w="4121"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.【法律】《中华人民共和国清洁生产促进法 》第三</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在中华人民共和国领域内，从事生产和服务活动的单位以及从事相关管理活动的部门依照本法规定，组织、实施清洁生产。第五</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.....县级以上地方人民政府确定的清洁生产综合协调部门负责组织、协调本行政区域内的清洁生产促进工作。</w:t>
            </w:r>
          </w:p>
        </w:tc>
        <w:tc>
          <w:tcPr>
            <w:tcW w:w="2348"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.督促责任：督促企业开展清洁生产；</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.监管责任：对企业实施强制性清洁生产审核的情况进行监督。</w:t>
            </w:r>
          </w:p>
          <w:p>
            <w:pPr>
              <w:widowControl/>
              <w:wordWrap/>
              <w:adjustRightInd w:val="0"/>
              <w:snapToGrid w:val="0"/>
              <w:spacing w:before="0" w:after="0" w:line="240" w:lineRule="auto"/>
              <w:ind w:left="0" w:leftChars="0" w:right="0" w:firstLine="400" w:firstLineChars="200"/>
              <w:jc w:val="both"/>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.其他法律法规规定的责任。</w:t>
            </w:r>
          </w:p>
        </w:tc>
        <w:tc>
          <w:tcPr>
            <w:tcW w:w="38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.【法律】《中华人民共和国清洁生产促进法》第五</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.【法律】《中华人民共和国清洁生产促进法》第二十七</w:t>
            </w:r>
            <w:r>
              <w:rPr>
                <w:rFonts w:hint="eastAsia" w:ascii="仿宋_GB2312" w:hAnsi="仿宋_GB2312" w:eastAsia="仿宋_GB2312" w:cs="仿宋_GB2312"/>
                <w:color w:val="auto"/>
                <w:kern w:val="0"/>
                <w:sz w:val="20"/>
                <w:szCs w:val="20"/>
                <w:lang w:eastAsia="zh-CN"/>
              </w:rPr>
              <w:t>条：</w:t>
            </w:r>
            <w:r>
              <w:rPr>
                <w:rFonts w:hint="eastAsia" w:ascii="仿宋_GB2312" w:hAnsi="仿宋_GB2312" w:eastAsia="仿宋_GB2312" w:cs="仿宋_GB2312"/>
                <w:color w:val="auto"/>
                <w:kern w:val="0"/>
                <w:sz w:val="20"/>
                <w:szCs w:val="20"/>
              </w:rPr>
              <w:t xml:space="preserve"> ......县级以上地方人民政府有关部门应当对企业实施强制性清洁生产审核的情况进行监督，必要时可以组织对企业实施清洁生产的效果进行评估验收........</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因不履行或不正确履行行政职责，有下列情形的，行政机关及相关工作人员应承担相应责任：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.未组织开展清洁生产；</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.向企业收取费用的，在评估验收中弄虚作假的，或者利用职务上的便利谋取利益的</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.不依法履行职责，造成重大事故和重大损失的</w:t>
            </w:r>
            <w:r>
              <w:rPr>
                <w:rFonts w:hint="eastAsia" w:ascii="仿宋_GB2312" w:hAnsi="仿宋_GB2312" w:eastAsia="仿宋_GB2312" w:cs="仿宋_GB2312"/>
                <w:color w:val="auto"/>
                <w:kern w:val="0"/>
                <w:sz w:val="20"/>
                <w:szCs w:val="20"/>
                <w:lang w:eastAsia="zh-CN"/>
              </w:rPr>
              <w:t>；</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4</w:t>
            </w:r>
            <w:r>
              <w:rPr>
                <w:rFonts w:hint="eastAsia" w:ascii="仿宋_GB2312" w:hAnsi="仿宋_GB2312" w:eastAsia="仿宋_GB2312" w:cs="仿宋_GB2312"/>
                <w:color w:val="auto"/>
                <w:kern w:val="0"/>
                <w:sz w:val="20"/>
                <w:szCs w:val="20"/>
              </w:rPr>
              <w:t>.其他违反工作纪律的情形。</w:t>
            </w:r>
          </w:p>
        </w:tc>
        <w:tc>
          <w:tcPr>
            <w:tcW w:w="4264" w:type="dxa"/>
            <w:tcBorders>
              <w:tl2br w:val="nil"/>
              <w:tr2bl w:val="nil"/>
            </w:tcBorders>
            <w:vAlign w:val="center"/>
          </w:tcPr>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.【法律】《中华人民共和国清洁生产促进法 》第三十五条　清洁生产综合协调部门或者其他有关部门未依照本法规定履行职责的，对直接负责的主管人员和其他直接责任人员依法给予处分。</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.【法律】《中华人民共和国清洁生产促进法 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 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构成犯罪的，依法追究刑事责任。</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 xml:space="preserve">.【法律】《中华人民共和国公务员法》一百零八条 公务员主管部门的工作人员，违反本法规定，滥用职权、玩忽职守、徇私舞弊，构成犯罪的，依法追究刑事责任；尚不构成犯罪的，给予处分或者由监察机关依法给予政务处分。  </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1</w:t>
            </w:r>
            <w:r>
              <w:rPr>
                <w:rFonts w:hint="eastAsia" w:ascii="仿宋_GB2312" w:hAnsi="仿宋_GB2312" w:eastAsia="仿宋_GB2312" w:cs="仿宋_GB2312"/>
                <w:color w:val="auto"/>
                <w:kern w:val="0"/>
                <w:sz w:val="20"/>
                <w:szCs w:val="20"/>
              </w:rPr>
              <w:t>.【行政法规】《行政机关公务员处分条例》（国务院令第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 第二十条　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二)发生重大事故、灾害、事件或者重大刑事案件、治安案件，不按规定报告、处理的；(三)对救灾、抢险、防汛、防疫、优抚、扶贫、移民、救济、社会保险、征地补偿等专项款物疏于管理，致使款物被贪污、挪用，或者毁损、灭失的。</w:t>
            </w:r>
          </w:p>
          <w:p>
            <w:pPr>
              <w:widowControl/>
              <w:wordWrap/>
              <w:adjustRightInd w:val="0"/>
              <w:snapToGrid w:val="0"/>
              <w:spacing w:before="0" w:after="0" w:line="240" w:lineRule="auto"/>
              <w:ind w:left="0" w:leftChars="0" w:right="0" w:firstLine="400" w:firstLineChars="200"/>
              <w:textAlignment w:val="center"/>
              <w:outlineLvl w:val="9"/>
              <w:rPr>
                <w:rFonts w:hint="eastAsia" w:ascii="仿宋_GB2312" w:hAnsi="仿宋_GB2312" w:eastAsia="仿宋_GB2312" w:cs="仿宋_GB2312"/>
                <w:color w:val="auto"/>
                <w:kern w:val="0"/>
                <w:sz w:val="20"/>
                <w:szCs w:val="20"/>
                <w:lang w:val="en-US" w:eastAsia="zh-CN" w:bidi="ar-SA"/>
              </w:rPr>
            </w:pPr>
            <w:r>
              <w:rPr>
                <w:rFonts w:hint="default" w:ascii="Times New Roman" w:hAnsi="Times New Roman" w:eastAsia="仿宋_GB2312" w:cs="Times New Roman"/>
                <w:color w:val="auto"/>
                <w:kern w:val="0"/>
                <w:sz w:val="20"/>
                <w:szCs w:val="20"/>
              </w:rPr>
              <w:t>3</w:t>
            </w:r>
            <w:r>
              <w:rPr>
                <w:rFonts w:hint="eastAsia" w:ascii="仿宋_GB2312" w:hAnsi="仿宋_GB2312" w:eastAsia="仿宋_GB2312" w:cs="仿宋_GB2312"/>
                <w:color w:val="auto"/>
                <w:kern w:val="0"/>
                <w:sz w:val="20"/>
                <w:szCs w:val="20"/>
              </w:rPr>
              <w:t>-</w:t>
            </w:r>
            <w:r>
              <w:rPr>
                <w:rFonts w:hint="default" w:ascii="Times New Roman" w:hAnsi="Times New Roman" w:eastAsia="仿宋_GB2312" w:cs="Times New Roman"/>
                <w:color w:val="auto"/>
                <w:kern w:val="0"/>
                <w:sz w:val="20"/>
                <w:szCs w:val="20"/>
              </w:rPr>
              <w:t>2</w:t>
            </w:r>
            <w:r>
              <w:rPr>
                <w:rFonts w:hint="eastAsia" w:ascii="仿宋_GB2312" w:hAnsi="仿宋_GB2312" w:eastAsia="仿宋_GB2312" w:cs="仿宋_GB2312"/>
                <w:color w:val="auto"/>
                <w:kern w:val="0"/>
                <w:sz w:val="20"/>
                <w:szCs w:val="20"/>
              </w:rPr>
              <w:t>.【行政法规】《行政机关公务员处分条例》（国务院令第</w:t>
            </w:r>
            <w:r>
              <w:rPr>
                <w:rFonts w:hint="default" w:ascii="Times New Roman" w:hAnsi="Times New Roman" w:eastAsia="仿宋_GB2312" w:cs="Times New Roman"/>
                <w:color w:val="auto"/>
                <w:kern w:val="0"/>
                <w:sz w:val="20"/>
                <w:szCs w:val="20"/>
              </w:rPr>
              <w:t>495</w:t>
            </w:r>
            <w:r>
              <w:rPr>
                <w:rFonts w:hint="eastAsia" w:ascii="仿宋_GB2312" w:hAnsi="仿宋_GB2312" w:eastAsia="仿宋_GB2312" w:cs="仿宋_GB2312"/>
                <w:color w:val="auto"/>
                <w:kern w:val="0"/>
                <w:sz w:val="20"/>
                <w:szCs w:val="20"/>
              </w:rPr>
              <w:t>号） 第二十条　有下列行为之一的，给予记过、记大过处分；情节较重的，给予降级或者撤职处分；情节严重的，给予开除处分：(四)其他玩忽职守、贻误工作的行为。</w:t>
            </w:r>
          </w:p>
        </w:tc>
        <w:tc>
          <w:tcPr>
            <w:tcW w:w="96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color w:val="auto"/>
                <w:kern w:val="0"/>
                <w:sz w:val="20"/>
                <w:szCs w:val="20"/>
                <w:lang w:eastAsia="zh-CN" w:bidi="ar-SA"/>
              </w:rPr>
            </w:pPr>
            <w:r>
              <w:rPr>
                <w:rFonts w:hint="eastAsia" w:ascii="仿宋_GB2312" w:hAnsi="仿宋_GB2312" w:eastAsia="仿宋_GB2312" w:cs="仿宋_GB2312"/>
                <w:color w:val="auto"/>
                <w:kern w:val="0"/>
                <w:sz w:val="20"/>
                <w:szCs w:val="20"/>
                <w:lang w:eastAsia="zh-CN"/>
              </w:rPr>
              <w:t>法律法规规定的免责情形及市委、市政府有关文件中明确的免责情形。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7" w:hRule="atLeast"/>
          <w:jc w:val="center"/>
        </w:trPr>
        <w:tc>
          <w:tcPr>
            <w:tcW w:w="486"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22</w:t>
            </w:r>
          </w:p>
        </w:tc>
        <w:tc>
          <w:tcPr>
            <w:tcW w:w="64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i w:val="0"/>
                <w:iCs w:val="0"/>
                <w:caps w:val="0"/>
                <w:color w:val="auto"/>
                <w:spacing w:val="0"/>
                <w:sz w:val="20"/>
                <w:szCs w:val="20"/>
                <w:shd w:val="clear" w:color="080000" w:fill="FFFFFF"/>
              </w:rPr>
            </w:pPr>
            <w:r>
              <w:rPr>
                <w:rFonts w:hint="eastAsia" w:ascii="仿宋_GB2312" w:hAnsi="仿宋_GB2312" w:eastAsia="仿宋_GB2312" w:cs="仿宋_GB2312"/>
                <w:i w:val="0"/>
                <w:iCs w:val="0"/>
                <w:caps w:val="0"/>
                <w:color w:val="auto"/>
                <w:spacing w:val="0"/>
                <w:sz w:val="20"/>
                <w:szCs w:val="20"/>
                <w:shd w:val="clear" w:color="080000" w:fill="FFFFFF"/>
                <w:lang w:eastAsia="zh-CN"/>
              </w:rPr>
              <w:t>其</w:t>
            </w:r>
            <w:r>
              <w:rPr>
                <w:rFonts w:hint="eastAsia" w:ascii="仿宋_GB2312" w:hAnsi="仿宋_GB2312" w:eastAsia="仿宋_GB2312" w:cs="仿宋_GB2312"/>
                <w:i w:val="0"/>
                <w:iCs w:val="0"/>
                <w:caps w:val="0"/>
                <w:color w:val="auto"/>
                <w:spacing w:val="0"/>
                <w:sz w:val="20"/>
                <w:szCs w:val="20"/>
                <w:shd w:val="clear" w:color="080000" w:fill="FFFFFF"/>
              </w:rPr>
              <w:t>他行政权力</w:t>
            </w:r>
          </w:p>
        </w:tc>
        <w:tc>
          <w:tcPr>
            <w:tcW w:w="615" w:type="dxa"/>
            <w:tcBorders>
              <w:tl2br w:val="nil"/>
              <w:tr2bl w:val="nil"/>
            </w:tcBorders>
            <w:vAlign w:val="center"/>
          </w:tcPr>
          <w:p>
            <w:pPr>
              <w:widowControl/>
              <w:adjustRightInd w:val="0"/>
              <w:snapToGrid w:val="0"/>
              <w:spacing w:line="296"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粮食收购企业备案</w:t>
            </w:r>
          </w:p>
        </w:tc>
        <w:tc>
          <w:tcPr>
            <w:tcW w:w="585" w:type="dxa"/>
            <w:tcBorders>
              <w:tl2br w:val="nil"/>
              <w:tr2bl w:val="nil"/>
            </w:tcBorders>
            <w:vAlign w:val="center"/>
          </w:tcPr>
          <w:p>
            <w:pPr>
              <w:widowControl/>
              <w:adjustRightInd w:val="0"/>
              <w:snapToGrid w:val="0"/>
              <w:spacing w:line="296" w:lineRule="exact"/>
              <w:jc w:val="left"/>
              <w:rPr>
                <w:rFonts w:hint="eastAsia" w:ascii="仿宋_GB2312" w:hAnsi="仿宋_GB2312" w:eastAsia="仿宋_GB2312" w:cs="仿宋_GB2312"/>
                <w:color w:val="auto"/>
                <w:kern w:val="0"/>
                <w:sz w:val="20"/>
                <w:szCs w:val="20"/>
              </w:rPr>
            </w:pPr>
          </w:p>
        </w:tc>
        <w:tc>
          <w:tcPr>
            <w:tcW w:w="660"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三江侗族自治县发展和改革局</w:t>
            </w:r>
          </w:p>
        </w:tc>
        <w:tc>
          <w:tcPr>
            <w:tcW w:w="754" w:type="dxa"/>
            <w:tcBorders>
              <w:tl2br w:val="nil"/>
              <w:tr2bl w:val="nil"/>
            </w:tcBorders>
            <w:vAlign w:val="center"/>
          </w:tcPr>
          <w:p>
            <w:pPr>
              <w:adjustRightInd w:val="0"/>
              <w:snapToGrid w:val="0"/>
              <w:spacing w:line="26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粮食物资监督管理股</w:t>
            </w:r>
          </w:p>
        </w:tc>
        <w:tc>
          <w:tcPr>
            <w:tcW w:w="4121"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九条：从事粮食收购的经营者（以下简称粮食收购者），应当具备与其收购粮食品种、数量相适应的能力。从事粮食收购的企业（以下简称粮食收购企业），应当向收购地的县级人民政府粮食和储备行政管理部门备案企业名称、地址、负责人以及仓储设施等信息，备案内容发生变化的，应当及时变更备案。</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eastAsia="zh-CN"/>
              </w:rPr>
              <w:t>县级以上地方人民政府粮食和储备行政管理部门应当加强粮食收购管理和服务，规范粮食收购活动。具体管理办法由省、自治区、直辖市人民政府制定。</w:t>
            </w:r>
            <w:r>
              <w:rPr>
                <w:rFonts w:hint="eastAsia" w:ascii="仿宋_GB2312" w:hAnsi="仿宋_GB2312" w:eastAsia="仿宋_GB2312" w:cs="仿宋_GB2312"/>
                <w:color w:val="auto"/>
                <w:kern w:val="0"/>
                <w:sz w:val="20"/>
                <w:szCs w:val="20"/>
                <w:lang w:val="en-US" w:eastAsia="zh-CN"/>
              </w:rPr>
              <w:t xml:space="preserve"> </w:t>
            </w:r>
          </w:p>
          <w:p>
            <w:pPr>
              <w:numPr>
                <w:ilvl w:val="0"/>
                <w:numId w:val="0"/>
              </w:num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【规范性文件】</w:t>
            </w:r>
            <w:r>
              <w:rPr>
                <w:rFonts w:hint="eastAsia" w:ascii="仿宋_GB2312" w:hAnsi="仿宋_GB2312" w:eastAsia="仿宋_GB2312" w:cs="仿宋_GB2312"/>
                <w:color w:val="auto"/>
                <w:kern w:val="0"/>
                <w:sz w:val="20"/>
                <w:szCs w:val="20"/>
                <w:lang w:val="en-US" w:eastAsia="zh-CN"/>
              </w:rPr>
              <w:t>《广西壮族自治区人民政府关于印发广西壮族自治区粮食收购企业备案管理办法》（桂政发〔</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31</w:t>
            </w:r>
            <w:r>
              <w:rPr>
                <w:rFonts w:hint="eastAsia" w:ascii="仿宋_GB2312" w:hAnsi="仿宋_GB2312" w:eastAsia="仿宋_GB2312" w:cs="仿宋_GB2312"/>
                <w:color w:val="auto"/>
                <w:kern w:val="0"/>
                <w:sz w:val="20"/>
                <w:szCs w:val="20"/>
                <w:lang w:val="en-US" w:eastAsia="zh-CN"/>
              </w:rPr>
              <w:t xml:space="preserve"> 号）第三条：本办法适用于在广西区域范围内从事粮食收购活动的企业（以下简称粮食收购企业），应当向收购地的县级人民政府粮食和储备行政管理部门备案企业名称、统一社会信用代码、负责人、联系电话、通讯地址、资金筹措能力、收购区域、粮食仓储设施、计量设备、检化验仪器设备和人员队伍等情况。</w:t>
            </w:r>
          </w:p>
        </w:tc>
        <w:tc>
          <w:tcPr>
            <w:tcW w:w="2348"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.受理阶段责任：受理依法应当提交的材料；一次性告知补正材料；依法受理或不予受理（不予受理应当告知理由）。</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.审查责任：按照政策规定对书面材料进行审查，提出是否同意备案的初步意见。</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.决定责任：作出同意备案或者不同意备案的决定，法定告知。</w:t>
            </w:r>
          </w:p>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.送达责任：准予备案；信息公开。</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.事后监管责任：建立实施监督检查的运行机制和管理制度，开展定期和不定期检查，依法采取相关处置措施。</w:t>
            </w:r>
          </w:p>
        </w:tc>
        <w:tc>
          <w:tcPr>
            <w:tcW w:w="3806" w:type="dxa"/>
            <w:tcBorders>
              <w:tl2br w:val="nil"/>
              <w:tr2bl w:val="nil"/>
            </w:tcBorders>
            <w:vAlign w:val="center"/>
          </w:tcPr>
          <w:p>
            <w:pPr>
              <w:widowControl w:val="0"/>
              <w:wordWrap/>
              <w:adjustRightInd w:val="0"/>
              <w:snapToGrid w:val="0"/>
              <w:spacing w:before="0" w:after="0" w:line="240" w:lineRule="auto"/>
              <w:ind w:left="0" w:leftChars="0" w:right="0" w:firstLine="400" w:firstLineChars="200"/>
              <w:textAlignment w:val="auto"/>
              <w:outlineLvl w:val="9"/>
              <w:rPr>
                <w:rFonts w:hint="eastAsia" w:ascii="仿宋_GB2312" w:hAnsi="仿宋_GB2312" w:eastAsia="仿宋_GB2312" w:cs="仿宋_GB2312"/>
                <w:color w:val="auto"/>
                <w:kern w:val="0"/>
                <w:sz w:val="20"/>
                <w:szCs w:val="20"/>
                <w:lang w:eastAsia="zh-CN"/>
              </w:rPr>
            </w:pPr>
            <w:r>
              <w:rPr>
                <w:rFonts w:hint="default" w:ascii="Times New Roman" w:hAnsi="Times New Roman" w:eastAsia="仿宋_GB2312" w:cs="Times New Roman"/>
                <w:color w:val="auto"/>
                <w:kern w:val="0"/>
                <w:sz w:val="20"/>
                <w:szCs w:val="20"/>
                <w:lang w:eastAsia="zh-CN"/>
              </w:rPr>
              <w:t>1</w:t>
            </w:r>
            <w:r>
              <w:rPr>
                <w:rFonts w:hint="eastAsia" w:ascii="仿宋_GB2312" w:hAnsi="仿宋_GB2312" w:eastAsia="仿宋_GB2312" w:cs="仿宋_GB2312"/>
                <w:color w:val="auto"/>
                <w:kern w:val="0"/>
                <w:sz w:val="20"/>
                <w:szCs w:val="20"/>
                <w:lang w:eastAsia="zh-CN"/>
              </w:rPr>
              <w:t>.【行政法规】《粮食流通管理条例》（</w:t>
            </w:r>
            <w:r>
              <w:rPr>
                <w:rFonts w:hint="default" w:ascii="Times New Roman" w:hAnsi="Times New Roman" w:eastAsia="仿宋_GB2312" w:cs="Times New Roman"/>
                <w:color w:val="auto"/>
                <w:kern w:val="0"/>
                <w:sz w:val="20"/>
                <w:szCs w:val="20"/>
                <w:lang w:eastAsia="zh-CN"/>
              </w:rPr>
              <w:t>2004</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407</w:t>
            </w:r>
            <w:r>
              <w:rPr>
                <w:rFonts w:hint="eastAsia" w:ascii="仿宋_GB2312" w:hAnsi="仿宋_GB2312" w:eastAsia="仿宋_GB2312" w:cs="仿宋_GB2312"/>
                <w:color w:val="auto"/>
                <w:kern w:val="0"/>
                <w:sz w:val="20"/>
                <w:szCs w:val="20"/>
                <w:lang w:eastAsia="zh-CN"/>
              </w:rPr>
              <w:t>号公布，</w:t>
            </w:r>
            <w:r>
              <w:rPr>
                <w:rFonts w:hint="default" w:ascii="Times New Roman" w:hAnsi="Times New Roman" w:eastAsia="仿宋_GB2312" w:cs="Times New Roman"/>
                <w:color w:val="auto"/>
                <w:kern w:val="0"/>
                <w:sz w:val="20"/>
                <w:szCs w:val="20"/>
                <w:lang w:eastAsia="zh-CN"/>
              </w:rPr>
              <w:t>2021</w:t>
            </w:r>
            <w:r>
              <w:rPr>
                <w:rFonts w:hint="eastAsia" w:ascii="仿宋_GB2312" w:hAnsi="仿宋_GB2312" w:eastAsia="仿宋_GB2312" w:cs="仿宋_GB2312"/>
                <w:color w:val="auto"/>
                <w:kern w:val="0"/>
                <w:sz w:val="20"/>
                <w:szCs w:val="20"/>
                <w:lang w:eastAsia="zh-CN"/>
              </w:rPr>
              <w:t>年国务院令第</w:t>
            </w:r>
            <w:r>
              <w:rPr>
                <w:rFonts w:hint="default" w:ascii="Times New Roman" w:hAnsi="Times New Roman" w:eastAsia="仿宋_GB2312" w:cs="Times New Roman"/>
                <w:color w:val="auto"/>
                <w:kern w:val="0"/>
                <w:sz w:val="20"/>
                <w:szCs w:val="20"/>
                <w:lang w:eastAsia="zh-CN"/>
              </w:rPr>
              <w:t>740</w:t>
            </w:r>
            <w:r>
              <w:rPr>
                <w:rFonts w:hint="eastAsia" w:ascii="仿宋_GB2312" w:hAnsi="仿宋_GB2312" w:eastAsia="仿宋_GB2312" w:cs="仿宋_GB2312"/>
                <w:color w:val="auto"/>
                <w:kern w:val="0"/>
                <w:sz w:val="20"/>
                <w:szCs w:val="20"/>
                <w:lang w:eastAsia="zh-CN"/>
              </w:rPr>
              <w:t>号第三次修订）第九条</w:t>
            </w:r>
            <w:r>
              <w:rPr>
                <w:rFonts w:hint="eastAsia" w:eastAsia="仿宋_GB2312"/>
                <w:color w:val="auto"/>
                <w:kern w:val="0"/>
                <w:sz w:val="20"/>
                <w:szCs w:val="20"/>
                <w:lang w:eastAsia="zh-CN"/>
              </w:rPr>
              <w:t>：</w:t>
            </w:r>
            <w:r>
              <w:rPr>
                <w:rFonts w:hint="eastAsia" w:ascii="仿宋_GB2312" w:hAnsi="仿宋_GB2312" w:eastAsia="仿宋_GB2312" w:cs="仿宋_GB2312"/>
                <w:color w:val="auto"/>
                <w:kern w:val="0"/>
                <w:sz w:val="20"/>
                <w:szCs w:val="20"/>
                <w:lang w:eastAsia="zh-CN"/>
              </w:rPr>
              <w:t>从事粮食收购的企业（以下简称粮食收购企业），应当向收购地的县级人民政府粮食和储备行政管理部门备案企业名称、地址、负责人以及仓储设施等信息，备案内容发生变化的，应当及时变更备案。县级以上地方人民政府粮食和储备行政管理部门应当加强粮食收购管理和服务，规范粮食收购活动。</w:t>
            </w:r>
          </w:p>
          <w:p>
            <w:pPr>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eastAsia="zh-CN"/>
              </w:rPr>
              <w:t>2</w:t>
            </w:r>
            <w:r>
              <w:rPr>
                <w:rFonts w:hint="eastAsia" w:ascii="仿宋_GB2312" w:hAnsi="仿宋_GB2312" w:eastAsia="仿宋_GB2312" w:cs="仿宋_GB2312"/>
                <w:color w:val="auto"/>
                <w:kern w:val="0"/>
                <w:sz w:val="20"/>
                <w:szCs w:val="20"/>
                <w:lang w:eastAsia="zh-CN"/>
              </w:rPr>
              <w:t>.【规范性文件】</w:t>
            </w:r>
            <w:r>
              <w:rPr>
                <w:rFonts w:hint="eastAsia" w:ascii="仿宋_GB2312" w:hAnsi="仿宋_GB2312" w:eastAsia="仿宋_GB2312" w:cs="仿宋_GB2312"/>
                <w:color w:val="auto"/>
                <w:kern w:val="0"/>
                <w:sz w:val="20"/>
                <w:szCs w:val="20"/>
                <w:lang w:val="en-US" w:eastAsia="zh-CN"/>
              </w:rPr>
              <w:t>《广西壮族自治区人民政府关于印发广西壮族自治区粮食收购企业备案管理办法》（桂政发〔</w:t>
            </w:r>
            <w:r>
              <w:rPr>
                <w:rFonts w:hint="default" w:ascii="Times New Roman" w:hAnsi="Times New Roman" w:eastAsia="仿宋_GB2312" w:cs="Times New Roman"/>
                <w:color w:val="auto"/>
                <w:kern w:val="0"/>
                <w:sz w:val="20"/>
                <w:szCs w:val="20"/>
                <w:lang w:val="en-US" w:eastAsia="zh-CN"/>
              </w:rPr>
              <w:t>2021</w:t>
            </w:r>
            <w:r>
              <w:rPr>
                <w:rFonts w:hint="eastAsia" w:ascii="仿宋_GB2312" w:hAnsi="仿宋_GB2312" w:eastAsia="仿宋_GB2312" w:cs="仿宋_GB2312"/>
                <w:color w:val="auto"/>
                <w:kern w:val="0"/>
                <w:sz w:val="20"/>
                <w:szCs w:val="20"/>
                <w:lang w:val="en-US" w:eastAsia="zh-CN"/>
              </w:rPr>
              <w:t>〕</w:t>
            </w:r>
            <w:r>
              <w:rPr>
                <w:rFonts w:hint="default" w:ascii="Times New Roman" w:hAnsi="Times New Roman" w:eastAsia="仿宋_GB2312" w:cs="Times New Roman"/>
                <w:color w:val="auto"/>
                <w:kern w:val="0"/>
                <w:sz w:val="20"/>
                <w:szCs w:val="20"/>
                <w:lang w:val="en-US" w:eastAsia="zh-CN"/>
              </w:rPr>
              <w:t>31</w:t>
            </w:r>
            <w:r>
              <w:rPr>
                <w:rFonts w:hint="eastAsia" w:ascii="仿宋_GB2312" w:hAnsi="仿宋_GB2312" w:eastAsia="仿宋_GB2312" w:cs="仿宋_GB2312"/>
                <w:color w:val="auto"/>
                <w:kern w:val="0"/>
                <w:sz w:val="20"/>
                <w:szCs w:val="20"/>
                <w:lang w:val="en-US" w:eastAsia="zh-CN"/>
              </w:rPr>
              <w:t xml:space="preserve"> 号）第三条</w:t>
            </w:r>
            <w:r>
              <w:rPr>
                <w:rFonts w:hint="eastAsia" w:eastAsia="仿宋_GB2312"/>
                <w:color w:val="auto"/>
                <w:kern w:val="0"/>
                <w:sz w:val="20"/>
                <w:szCs w:val="20"/>
                <w:lang w:eastAsia="zh-CN"/>
              </w:rPr>
              <w:t>：</w:t>
            </w:r>
            <w:r>
              <w:rPr>
                <w:rFonts w:hint="eastAsia" w:ascii="仿宋_GB2312" w:hAnsi="仿宋_GB2312" w:eastAsia="仿宋_GB2312" w:cs="仿宋_GB2312"/>
                <w:color w:val="auto"/>
                <w:kern w:val="0"/>
                <w:sz w:val="20"/>
                <w:szCs w:val="20"/>
                <w:lang w:eastAsia="zh-CN"/>
              </w:rPr>
              <w:t>本办法适用于在广西区域范围内从事粮食收购活动的企业（以下简称粮食收购企业），应当向收购地的县级人民政府粮食和储备行政管理部门备案企业名称、统一社会信用代码、负责人、联系电话、通讯地址、资金筹措能力、收购区域、粮食仓储设施、计量设备、检化验仪器设备和人员队伍等情况。</w:t>
            </w:r>
          </w:p>
        </w:tc>
        <w:tc>
          <w:tcPr>
            <w:tcW w:w="2306" w:type="dxa"/>
            <w:tcBorders>
              <w:tl2br w:val="nil"/>
              <w:tr2bl w:val="nil"/>
            </w:tcBorders>
            <w:vAlign w:val="center"/>
          </w:tcPr>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 xml:space="preserve">因不履行或不正确履行行政职责，有下列情形的，行政机关及相关工作人员应承担相应责任: </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1</w:t>
            </w:r>
            <w:r>
              <w:rPr>
                <w:rFonts w:hint="eastAsia" w:ascii="仿宋_GB2312" w:hAnsi="仿宋_GB2312" w:eastAsia="仿宋_GB2312" w:cs="仿宋_GB2312"/>
                <w:color w:val="auto"/>
                <w:kern w:val="0"/>
                <w:sz w:val="20"/>
                <w:szCs w:val="20"/>
                <w:lang w:val="en-US" w:eastAsia="zh-CN"/>
              </w:rPr>
              <w:t>.不及时下达市级储备粮收购、销售及年度轮换计划的；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2</w:t>
            </w:r>
            <w:r>
              <w:rPr>
                <w:rFonts w:hint="eastAsia" w:ascii="仿宋_GB2312" w:hAnsi="仿宋_GB2312" w:eastAsia="仿宋_GB2312" w:cs="仿宋_GB2312"/>
                <w:color w:val="auto"/>
                <w:kern w:val="0"/>
                <w:sz w:val="20"/>
                <w:szCs w:val="20"/>
                <w:lang w:val="en-US" w:eastAsia="zh-CN"/>
              </w:rPr>
              <w:t>.发现市级储备粮承储企业不再具备承储条件不及时取消其承储任务的；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3</w:t>
            </w:r>
            <w:r>
              <w:rPr>
                <w:rFonts w:hint="eastAsia" w:ascii="仿宋_GB2312" w:hAnsi="仿宋_GB2312" w:eastAsia="仿宋_GB2312" w:cs="仿宋_GB2312"/>
                <w:color w:val="auto"/>
                <w:kern w:val="0"/>
                <w:sz w:val="20"/>
                <w:szCs w:val="20"/>
                <w:lang w:val="en-US" w:eastAsia="zh-CN"/>
              </w:rPr>
              <w:t>.接到举报、发现违法行为不及时查处的；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4</w:t>
            </w:r>
            <w:r>
              <w:rPr>
                <w:rFonts w:hint="eastAsia" w:ascii="仿宋_GB2312" w:hAnsi="仿宋_GB2312" w:eastAsia="仿宋_GB2312" w:cs="仿宋_GB2312"/>
                <w:color w:val="auto"/>
                <w:kern w:val="0"/>
                <w:sz w:val="20"/>
                <w:szCs w:val="20"/>
                <w:lang w:val="en-US" w:eastAsia="zh-CN"/>
              </w:rPr>
              <w:t>.拒不组织实施或者擅自改变市级储备粮收购、销售、年度轮换计划及动用命令的；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5</w:t>
            </w:r>
            <w:r>
              <w:rPr>
                <w:rFonts w:hint="eastAsia" w:ascii="仿宋_GB2312" w:hAnsi="仿宋_GB2312" w:eastAsia="仿宋_GB2312" w:cs="仿宋_GB2312"/>
                <w:color w:val="auto"/>
                <w:kern w:val="0"/>
                <w:sz w:val="20"/>
                <w:szCs w:val="20"/>
                <w:lang w:val="en-US" w:eastAsia="zh-CN"/>
              </w:rPr>
              <w:t>.选择不具备条件的企业存储市级储备粮的；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6</w:t>
            </w:r>
            <w:r>
              <w:rPr>
                <w:rFonts w:hint="eastAsia" w:ascii="仿宋_GB2312" w:hAnsi="仿宋_GB2312" w:eastAsia="仿宋_GB2312" w:cs="仿宋_GB2312"/>
                <w:color w:val="auto"/>
                <w:kern w:val="0"/>
                <w:sz w:val="20"/>
                <w:szCs w:val="20"/>
                <w:lang w:val="en-US" w:eastAsia="zh-CN"/>
              </w:rPr>
              <w:t>.发现市级储备粮的数量、质量存在问题不及时纠正的，或者发现危及市级储备粮储存安全的重大问题，不立即采取有效措施处理并按照规定报告的；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7</w:t>
            </w:r>
            <w:r>
              <w:rPr>
                <w:rFonts w:hint="eastAsia" w:ascii="仿宋_GB2312" w:hAnsi="仿宋_GB2312" w:eastAsia="仿宋_GB2312" w:cs="仿宋_GB2312"/>
                <w:color w:val="auto"/>
                <w:kern w:val="0"/>
                <w:sz w:val="20"/>
                <w:szCs w:val="20"/>
                <w:lang w:val="en-US" w:eastAsia="zh-CN"/>
              </w:rPr>
              <w:t>.拒绝、阻挠、干涉监督检察人员印发履行监督检查职责的；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8</w:t>
            </w:r>
            <w:r>
              <w:rPr>
                <w:rFonts w:hint="eastAsia" w:ascii="仿宋_GB2312" w:hAnsi="仿宋_GB2312" w:eastAsia="仿宋_GB2312" w:cs="仿宋_GB2312"/>
                <w:color w:val="auto"/>
                <w:kern w:val="0"/>
                <w:sz w:val="20"/>
                <w:szCs w:val="20"/>
                <w:lang w:val="en-US" w:eastAsia="zh-CN"/>
              </w:rPr>
              <w:t>.违反廉政纪律，索贿、受贿、利用职务之便为自己或者他人谋取私利的；</w:t>
            </w:r>
            <w:r>
              <w:rPr>
                <w:rFonts w:hint="eastAsia" w:ascii="仿宋_GB2312" w:hAnsi="仿宋_GB2312" w:eastAsia="仿宋_GB2312" w:cs="仿宋_GB2312"/>
                <w:color w:val="auto"/>
                <w:kern w:val="0"/>
                <w:sz w:val="20"/>
                <w:szCs w:val="20"/>
                <w:lang w:val="en-US" w:eastAsia="zh-CN"/>
              </w:rPr>
              <w:br w:type="textWrapping"/>
            </w: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9</w:t>
            </w:r>
            <w:r>
              <w:rPr>
                <w:rFonts w:hint="eastAsia" w:ascii="仿宋_GB2312" w:hAnsi="仿宋_GB2312" w:eastAsia="仿宋_GB2312" w:cs="仿宋_GB2312"/>
                <w:color w:val="auto"/>
                <w:kern w:val="0"/>
                <w:sz w:val="20"/>
                <w:szCs w:val="20"/>
                <w:lang w:val="en-US" w:eastAsia="zh-CN"/>
              </w:rPr>
              <w:t>.其他违反法律法规文件规定的行为。</w:t>
            </w:r>
          </w:p>
        </w:tc>
        <w:tc>
          <w:tcPr>
            <w:tcW w:w="4264" w:type="dxa"/>
            <w:tcBorders>
              <w:tl2br w:val="nil"/>
              <w:tr2bl w:val="nil"/>
            </w:tcBorders>
            <w:vAlign w:val="center"/>
          </w:tcPr>
          <w:p>
            <w:pPr>
              <w:widowControl/>
              <w:numPr>
                <w:ilvl w:val="0"/>
                <w:numId w:val="0"/>
              </w:numPr>
              <w:wordWrap/>
              <w:adjustRightInd w:val="0"/>
              <w:snapToGrid w:val="0"/>
              <w:spacing w:before="0" w:after="0" w:line="240" w:lineRule="auto"/>
              <w:ind w:right="0"/>
              <w:textAlignment w:val="center"/>
              <w:outlineLvl w:val="9"/>
              <w:rPr>
                <w:rFonts w:hint="default" w:ascii="Times New Roman" w:hAnsi="Times New Roman" w:eastAsia="仿宋_GB2312" w:cs="Times New Roman"/>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 xml:space="preserve">  </w:t>
            </w:r>
            <w:r>
              <w:rPr>
                <w:rFonts w:hint="default" w:ascii="Times New Roman" w:hAnsi="Times New Roman" w:eastAsia="仿宋_GB2312" w:cs="Times New Roman"/>
                <w:color w:val="auto"/>
                <w:kern w:val="0"/>
                <w:sz w:val="20"/>
                <w:szCs w:val="20"/>
                <w:lang w:val="en-US" w:eastAsia="zh-CN"/>
              </w:rPr>
              <w:t xml:space="preserve">  1.《广西壮族自治区储备粮管理办法》（</w:t>
            </w:r>
            <w:r>
              <w:rPr>
                <w:rFonts w:hint="default" w:ascii="Times New Roman" w:hAnsi="Times New Roman" w:eastAsia="仿宋_GB2312" w:cs="Times New Roman"/>
                <w:color w:val="auto"/>
                <w:kern w:val="0"/>
                <w:sz w:val="20"/>
                <w:szCs w:val="20"/>
                <w:lang w:eastAsia="zh-CN"/>
              </w:rPr>
              <w:t>200</w:t>
            </w:r>
            <w:r>
              <w:rPr>
                <w:rFonts w:hint="default" w:ascii="Times New Roman" w:hAnsi="Times New Roman" w:eastAsia="仿宋_GB2312" w:cs="Times New Roman"/>
                <w:color w:val="auto"/>
                <w:kern w:val="0"/>
                <w:sz w:val="20"/>
                <w:szCs w:val="20"/>
                <w:lang w:val="en-US" w:eastAsia="zh-CN"/>
              </w:rPr>
              <w:t>5</w:t>
            </w:r>
            <w:r>
              <w:rPr>
                <w:rFonts w:hint="default" w:ascii="Times New Roman" w:hAnsi="Times New Roman" w:eastAsia="仿宋_GB2312" w:cs="Times New Roman"/>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13</w:t>
            </w:r>
            <w:r>
              <w:rPr>
                <w:rFonts w:hint="default" w:ascii="Times New Roman" w:hAnsi="Times New Roman" w:eastAsia="仿宋_GB2312" w:cs="Times New Roman"/>
                <w:color w:val="auto"/>
                <w:kern w:val="0"/>
                <w:sz w:val="20"/>
                <w:szCs w:val="20"/>
                <w:lang w:eastAsia="zh-CN"/>
              </w:rPr>
              <w:t>号公布，20</w:t>
            </w:r>
            <w:r>
              <w:rPr>
                <w:rFonts w:hint="default" w:ascii="Times New Roman" w:hAnsi="Times New Roman" w:eastAsia="仿宋_GB2312" w:cs="Times New Roman"/>
                <w:color w:val="auto"/>
                <w:kern w:val="0"/>
                <w:sz w:val="20"/>
                <w:szCs w:val="20"/>
                <w:lang w:val="en-US" w:eastAsia="zh-CN"/>
              </w:rPr>
              <w:t>18</w:t>
            </w:r>
            <w:r>
              <w:rPr>
                <w:rFonts w:hint="default" w:ascii="Times New Roman" w:hAnsi="Times New Roman" w:eastAsia="仿宋_GB2312" w:cs="Times New Roman"/>
                <w:color w:val="auto"/>
                <w:kern w:val="0"/>
                <w:sz w:val="20"/>
                <w:szCs w:val="20"/>
                <w:lang w:eastAsia="zh-CN"/>
              </w:rPr>
              <w:t>年广西壮族自治区人民政府令第</w:t>
            </w:r>
            <w:r>
              <w:rPr>
                <w:rFonts w:hint="default" w:ascii="Times New Roman" w:hAnsi="Times New Roman" w:eastAsia="仿宋_GB2312" w:cs="Times New Roman"/>
                <w:color w:val="auto"/>
                <w:kern w:val="0"/>
                <w:sz w:val="20"/>
                <w:szCs w:val="20"/>
                <w:lang w:val="en-US" w:eastAsia="zh-CN"/>
              </w:rPr>
              <w:t>128</w:t>
            </w:r>
            <w:r>
              <w:rPr>
                <w:rFonts w:hint="default" w:ascii="Times New Roman" w:hAnsi="Times New Roman" w:eastAsia="仿宋_GB2312" w:cs="Times New Roman"/>
                <w:color w:val="auto"/>
                <w:kern w:val="0"/>
                <w:sz w:val="20"/>
                <w:szCs w:val="20"/>
                <w:lang w:eastAsia="zh-CN"/>
              </w:rPr>
              <w:t>号第二次修正</w:t>
            </w:r>
            <w:r>
              <w:rPr>
                <w:rFonts w:hint="default" w:ascii="Times New Roman" w:hAnsi="Times New Roman" w:eastAsia="仿宋_GB2312" w:cs="Times New Roman"/>
                <w:color w:val="auto"/>
                <w:kern w:val="0"/>
                <w:sz w:val="20"/>
                <w:szCs w:val="20"/>
                <w:lang w:val="en-US" w:eastAsia="zh-CN"/>
              </w:rPr>
              <w:t>）第七条：自治区粮食行政管理部门负责管理自治区储备粮，对自治区储备粮的数量、质量和储存实施监督检查。其所属的储备粮管理机构负责自治区储备粮的经营管理工作，并负责自治区储备粮的数量、质量和储存安全。    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第四十五条：市、县级储备粮管理 本办法执行。</w:t>
            </w:r>
          </w:p>
          <w:p>
            <w:pPr>
              <w:widowControl/>
              <w:numPr>
                <w:ilvl w:val="0"/>
                <w:numId w:val="0"/>
              </w:numPr>
              <w:wordWrap/>
              <w:adjustRightInd w:val="0"/>
              <w:snapToGrid w:val="0"/>
              <w:spacing w:before="0" w:after="0" w:line="240" w:lineRule="auto"/>
              <w:ind w:right="0"/>
              <w:textAlignment w:val="center"/>
              <w:outlineLvl w:val="9"/>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 xml:space="preserve">    2.【法规】《行政机关公务员处分条例》（国务院令第495号）第二十三条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p>
            <w:pPr>
              <w:widowControl/>
              <w:numPr>
                <w:ilvl w:val="0"/>
                <w:numId w:val="0"/>
              </w:numPr>
              <w:wordWrap/>
              <w:adjustRightInd w:val="0"/>
              <w:snapToGrid w:val="0"/>
              <w:spacing w:before="0" w:after="0" w:line="240" w:lineRule="auto"/>
              <w:ind w:right="0" w:firstLine="400" w:firstLineChars="200"/>
              <w:textAlignment w:val="center"/>
              <w:outlineLvl w:val="9"/>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3.【法规】《行政机关公务员处分条例》（国务院令第495号）第二十条有下列行为之一的，给予记过、记大过处分；情节较重的，给予降级或者撤职处分；情节严重的，给予开除处分：（四）其他玩忽职守、贻误工作的行为。</w:t>
            </w:r>
          </w:p>
          <w:p>
            <w:pPr>
              <w:widowControl/>
              <w:numPr>
                <w:ilvl w:val="0"/>
                <w:numId w:val="0"/>
              </w:numPr>
              <w:wordWrap/>
              <w:adjustRightInd w:val="0"/>
              <w:snapToGrid w:val="0"/>
              <w:spacing w:before="0" w:after="0" w:line="240" w:lineRule="auto"/>
              <w:ind w:right="0" w:firstLine="400" w:firstLineChars="200"/>
              <w:textAlignment w:val="center"/>
              <w:outlineLvl w:val="9"/>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4.同3.</w:t>
            </w:r>
          </w:p>
          <w:p>
            <w:pPr>
              <w:widowControl/>
              <w:numPr>
                <w:ilvl w:val="0"/>
                <w:numId w:val="0"/>
              </w:numPr>
              <w:wordWrap/>
              <w:adjustRightInd w:val="0"/>
              <w:snapToGrid w:val="0"/>
              <w:spacing w:before="0" w:after="0" w:line="240" w:lineRule="auto"/>
              <w:ind w:right="0" w:firstLine="400" w:firstLineChars="200"/>
              <w:textAlignment w:val="center"/>
              <w:outlineLvl w:val="9"/>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5.同1.</w:t>
            </w:r>
          </w:p>
          <w:p>
            <w:pPr>
              <w:widowControl/>
              <w:numPr>
                <w:ilvl w:val="0"/>
                <w:numId w:val="0"/>
              </w:numPr>
              <w:wordWrap/>
              <w:adjustRightInd w:val="0"/>
              <w:snapToGrid w:val="0"/>
              <w:spacing w:before="0" w:after="0" w:line="240" w:lineRule="auto"/>
              <w:ind w:right="0" w:firstLine="400" w:firstLineChars="200"/>
              <w:textAlignment w:val="center"/>
              <w:outlineLvl w:val="9"/>
              <w:rPr>
                <w:rFonts w:hint="default" w:ascii="Times New Roman" w:hAnsi="Times New Roman" w:eastAsia="仿宋_GB2312" w:cs="Times New Roman"/>
                <w:color w:val="auto"/>
                <w:kern w:val="0"/>
                <w:sz w:val="20"/>
                <w:szCs w:val="20"/>
                <w:lang w:val="en-US" w:eastAsia="zh-CN"/>
              </w:rPr>
            </w:pPr>
            <w:r>
              <w:rPr>
                <w:rFonts w:hint="default" w:ascii="Times New Roman" w:hAnsi="Times New Roman" w:eastAsia="仿宋_GB2312" w:cs="Times New Roman"/>
                <w:color w:val="auto"/>
                <w:kern w:val="0"/>
                <w:sz w:val="20"/>
                <w:szCs w:val="20"/>
                <w:lang w:val="en-US" w:eastAsia="zh-CN"/>
              </w:rPr>
              <w:t>6.同1.</w:t>
            </w:r>
          </w:p>
          <w:p>
            <w:pPr>
              <w:widowControl/>
              <w:numPr>
                <w:ilvl w:val="0"/>
                <w:numId w:val="0"/>
              </w:numPr>
              <w:wordWrap/>
              <w:adjustRightInd w:val="0"/>
              <w:snapToGrid w:val="0"/>
              <w:spacing w:before="0" w:after="0" w:line="240" w:lineRule="auto"/>
              <w:ind w:right="0" w:firstLine="400" w:firstLineChars="200"/>
              <w:textAlignment w:val="center"/>
              <w:outlineLvl w:val="9"/>
              <w:rPr>
                <w:rFonts w:hint="default" w:ascii="Times New Roman" w:hAnsi="Times New Roman" w:eastAsia="仿宋_GB2312" w:cs="Times New Roman"/>
                <w:color w:val="auto"/>
                <w:kern w:val="0"/>
                <w:sz w:val="20"/>
                <w:szCs w:val="20"/>
                <w:lang w:eastAsia="zh-CN"/>
              </w:rPr>
            </w:pPr>
            <w:r>
              <w:rPr>
                <w:rFonts w:hint="default" w:ascii="Times New Roman" w:hAnsi="Times New Roman" w:eastAsia="仿宋_GB2312" w:cs="Times New Roman"/>
                <w:color w:val="auto"/>
                <w:kern w:val="0"/>
                <w:sz w:val="20"/>
                <w:szCs w:val="20"/>
                <w:lang w:val="en-US" w:eastAsia="zh-CN"/>
              </w:rPr>
              <w:t>7.同3.</w:t>
            </w:r>
          </w:p>
          <w:p>
            <w:pPr>
              <w:widowControl/>
              <w:wordWrap/>
              <w:adjustRightInd w:val="0"/>
              <w:snapToGrid w:val="0"/>
              <w:spacing w:before="0" w:after="0" w:line="240" w:lineRule="auto"/>
              <w:ind w:left="0" w:leftChars="0" w:right="0" w:firstLine="400" w:firstLineChars="200"/>
              <w:jc w:val="left"/>
              <w:outlineLvl w:val="9"/>
              <w:rPr>
                <w:rFonts w:hint="eastAsia" w:ascii="仿宋_GB2312" w:hAnsi="仿宋_GB2312" w:eastAsia="仿宋_GB2312" w:cs="仿宋_GB2312"/>
                <w:color w:val="auto"/>
                <w:kern w:val="0"/>
                <w:sz w:val="20"/>
                <w:szCs w:val="20"/>
              </w:rPr>
            </w:pPr>
            <w:r>
              <w:rPr>
                <w:rFonts w:hint="default" w:ascii="Times New Roman" w:hAnsi="Times New Roman" w:eastAsia="仿宋_GB2312" w:cs="Times New Roman"/>
                <w:color w:val="auto"/>
                <w:kern w:val="0"/>
                <w:sz w:val="20"/>
                <w:szCs w:val="20"/>
                <w:lang w:val="en-US" w:eastAsia="zh-CN"/>
              </w:rPr>
              <w:t>8.同2.</w:t>
            </w:r>
          </w:p>
        </w:tc>
        <w:tc>
          <w:tcPr>
            <w:tcW w:w="960" w:type="dxa"/>
            <w:tcBorders>
              <w:tl2br w:val="nil"/>
              <w:tr2bl w:val="nil"/>
            </w:tcBorders>
            <w:vAlign w:val="center"/>
          </w:tcPr>
          <w:p>
            <w:pPr>
              <w:widowControl/>
              <w:spacing w:line="220" w:lineRule="exact"/>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法律法规规章规定的免责情形及市委、市人民政府有关文件中明确的免责情形。</w:t>
            </w:r>
          </w:p>
        </w:tc>
        <w:tc>
          <w:tcPr>
            <w:tcW w:w="675" w:type="dxa"/>
            <w:tcBorders>
              <w:tl2br w:val="nil"/>
              <w:tr2bl w:val="nil"/>
            </w:tcBorders>
            <w:vAlign w:val="top"/>
          </w:tcPr>
          <w:p>
            <w:pPr>
              <w:adjustRightInd w:val="0"/>
              <w:snapToGrid w:val="0"/>
              <w:spacing w:line="260" w:lineRule="exact"/>
              <w:rPr>
                <w:rFonts w:hint="eastAsia" w:ascii="方正书宋_GBK" w:hAnsi="宋体" w:eastAsia="方正书宋_GBK" w:cs="宋体"/>
                <w:color w:val="auto"/>
                <w:kern w:val="0"/>
                <w:sz w:val="20"/>
                <w:szCs w:val="20"/>
              </w:rPr>
            </w:pPr>
          </w:p>
        </w:tc>
      </w:tr>
    </w:tbl>
    <w:p>
      <w:pPr>
        <w:jc w:val="both"/>
        <w:rPr>
          <w:rFonts w:hint="eastAsia" w:eastAsia="宋体"/>
          <w:sz w:val="20"/>
          <w:szCs w:val="20"/>
          <w:lang w:val="en-US" w:eastAsia="zh-CN"/>
        </w:rPr>
      </w:pPr>
    </w:p>
    <w:p>
      <w:pPr>
        <w:jc w:val="center"/>
        <w:rPr>
          <w:rFonts w:hint="eastAsia"/>
          <w:sz w:val="84"/>
          <w:szCs w:val="84"/>
        </w:rPr>
      </w:pPr>
    </w:p>
    <w:p>
      <w:pPr>
        <w:rPr>
          <w:rFonts w:hint="eastAsia" w:ascii="仿宋_GB2312" w:hAnsi="仿宋_GB2312" w:eastAsia="仿宋_GB2312" w:cs="仿宋_GB2312"/>
          <w:color w:val="000000"/>
          <w:sz w:val="32"/>
          <w:szCs w:val="32"/>
          <w:lang w:val="en-US" w:eastAsia="zh-CN"/>
        </w:rPr>
      </w:pPr>
    </w:p>
    <w:sectPr>
      <w:headerReference r:id="rId3" w:type="default"/>
      <w:pgSz w:w="23760" w:h="16781" w:orient="landscape"/>
      <w:pgMar w:top="1463" w:right="1440" w:bottom="1519" w:left="1440" w:header="851" w:footer="992" w:gutter="0"/>
      <w:pgBorders>
        <w:top w:val="none" w:sz="0" w:space="0"/>
        <w:left w:val="none" w:sz="0" w:space="0"/>
        <w:bottom w:val="none" w:sz="0" w:space="0"/>
        <w:right w:val="none" w:sz="0" w:space="0"/>
      </w:pgBorders>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A1F1C9-9A93-48DC-8640-BF1FBF8A28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978C1FD-7707-4D04-A914-201B04645A58}"/>
  </w:font>
  <w:font w:name="仿宋_GB2312">
    <w:altName w:val="仿宋"/>
    <w:panose1 w:val="02010609030101010101"/>
    <w:charset w:val="86"/>
    <w:family w:val="auto"/>
    <w:pitch w:val="default"/>
    <w:sig w:usb0="00000000" w:usb1="00000000" w:usb2="00000000" w:usb3="00000000" w:csb0="00040000" w:csb1="00000000"/>
    <w:embedRegular r:id="rId3" w:fontKey="{A058370F-B59B-4934-BD6A-E63FEE2D8771}"/>
  </w:font>
  <w:font w:name="方正黑体_GBK">
    <w:altName w:val="微软雅黑"/>
    <w:panose1 w:val="02000000000000000000"/>
    <w:charset w:val="86"/>
    <w:family w:val="auto"/>
    <w:pitch w:val="default"/>
    <w:sig w:usb0="00000000" w:usb1="00000000" w:usb2="00000000" w:usb3="00000000" w:csb0="00040000" w:csb1="00000000"/>
    <w:embedRegular r:id="rId4" w:fontKey="{1A72FFF5-03CC-4E63-B377-F49E747663AA}"/>
  </w:font>
  <w:font w:name="方正书宋_GBK">
    <w:altName w:val="微软雅黑"/>
    <w:panose1 w:val="02000000000000000000"/>
    <w:charset w:val="86"/>
    <w:family w:val="auto"/>
    <w:pitch w:val="default"/>
    <w:sig w:usb0="00000000" w:usb1="00000000" w:usb2="00000000" w:usb3="00000000" w:csb0="00040000" w:csb1="00000000"/>
    <w:embedRegular r:id="rId5" w:fontKey="{610C1194-B1A8-40A6-92CC-24653F67A9CC}"/>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lhYTI3YzZjOTVhNzA4NWM4NTc1NjRlYzRjZThlMDkifQ=="/>
  </w:docVars>
  <w:rsids>
    <w:rsidRoot w:val="00000000"/>
    <w:rsid w:val="481369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45133</Words>
  <Characters>46291</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2020-12-22T02:55:00Z</dcterms:created>
  <dc:creator>暖暖</dc:creator>
  <cp:lastModifiedBy>Rancho</cp:lastModifiedBy>
  <dcterms:modified xsi:type="dcterms:W3CDTF">2023-12-15T01:50:07Z</dcterms:modified>
  <dc:title>三江侗族自治县发展和改革局权责清单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2A4501B5219A4038B237AF461E2A12F6</vt:lpwstr>
  </property>
</Properties>
</file>