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0" w:lineRule="exact"/>
        <w:jc w:val="center"/>
        <w:outlineLvl w:val="0"/>
        <w:rPr>
          <w:rFonts w:hint="eastAsia" w:ascii="Times New Roman" w:hAnsi="Times New Roman" w:eastAsia="方正小标宋简体" w:cs="方正小标宋简体"/>
          <w:snapToGrid w:val="0"/>
          <w:color w:val="auto"/>
          <w:sz w:val="44"/>
          <w:szCs w:val="44"/>
          <w:highlight w:val="none"/>
        </w:rPr>
      </w:pPr>
      <w:bookmarkStart w:id="0" w:name="_Toc89999792"/>
      <w:r>
        <w:rPr>
          <w:rFonts w:hint="eastAsia" w:eastAsia="方正小标宋简体" w:cs="方正小标宋简体"/>
          <w:snapToGrid w:val="0"/>
          <w:color w:val="auto"/>
          <w:sz w:val="44"/>
          <w:szCs w:val="44"/>
          <w:highlight w:val="none"/>
          <w:lang w:val="en-US" w:eastAsia="zh-CN"/>
        </w:rPr>
        <w:t>柳州市三江侗族自治县</w:t>
      </w:r>
      <w:r>
        <w:rPr>
          <w:rFonts w:hint="eastAsia" w:ascii="Arial" w:hAnsi="Arial" w:eastAsia="方正小标宋简体" w:cs="Arial"/>
          <w:snapToGrid w:val="0"/>
          <w:color w:val="auto"/>
          <w:sz w:val="44"/>
          <w:szCs w:val="44"/>
          <w:highlight w:val="none"/>
          <w:lang w:val="en-US" w:eastAsia="zh-CN"/>
        </w:rPr>
        <w:t>古宜镇</w:t>
      </w:r>
      <w:r>
        <w:rPr>
          <w:rFonts w:hint="eastAsia" w:ascii="Times New Roman" w:hAnsi="Times New Roman" w:eastAsia="方正小标宋简体" w:cs="方正小标宋简体"/>
          <w:snapToGrid w:val="0"/>
          <w:color w:val="auto"/>
          <w:sz w:val="44"/>
          <w:szCs w:val="44"/>
          <w:highlight w:val="none"/>
        </w:rPr>
        <w:t>权责清单</w:t>
      </w:r>
      <w:bookmarkEnd w:id="0"/>
    </w:p>
    <w:tbl>
      <w:tblPr>
        <w:tblStyle w:val="9"/>
        <w:tblW w:w="0" w:type="auto"/>
        <w:tblInd w:w="0" w:type="dxa"/>
        <w:tblLayout w:type="fixed"/>
        <w:tblCellMar>
          <w:top w:w="28" w:type="dxa"/>
          <w:left w:w="28" w:type="dxa"/>
          <w:bottom w:w="28" w:type="dxa"/>
          <w:right w:w="28" w:type="dxa"/>
        </w:tblCellMar>
      </w:tblPr>
      <w:tblGrid>
        <w:gridCol w:w="527"/>
        <w:gridCol w:w="457"/>
        <w:gridCol w:w="480"/>
        <w:gridCol w:w="600"/>
        <w:gridCol w:w="479"/>
        <w:gridCol w:w="721"/>
        <w:gridCol w:w="2939"/>
        <w:gridCol w:w="2730"/>
        <w:gridCol w:w="3811"/>
        <w:gridCol w:w="2969"/>
        <w:gridCol w:w="4161"/>
        <w:gridCol w:w="1170"/>
        <w:gridCol w:w="737"/>
      </w:tblGrid>
      <w:tr>
        <w:tblPrEx>
          <w:tblCellMar>
            <w:top w:w="28" w:type="dxa"/>
            <w:left w:w="28" w:type="dxa"/>
            <w:bottom w:w="28" w:type="dxa"/>
            <w:right w:w="28" w:type="dxa"/>
          </w:tblCellMar>
        </w:tblPrEx>
        <w:trPr>
          <w:trHeight w:val="90" w:hRule="atLeast"/>
          <w:tblHeader/>
        </w:trPr>
        <w:tc>
          <w:tcPr>
            <w:tcW w:w="52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highlight w:val="none"/>
              </w:rPr>
            </w:pPr>
            <w:r>
              <w:rPr>
                <w:rFonts w:hint="eastAsia" w:ascii="Times New Roman" w:hAnsi="Times New Roman" w:eastAsia="黑体" w:cs="黑体"/>
                <w:snapToGrid w:val="0"/>
                <w:color w:val="000000"/>
                <w:sz w:val="20"/>
                <w:szCs w:val="20"/>
                <w:highlight w:val="none"/>
              </w:rPr>
              <w:t>序号</w:t>
            </w:r>
          </w:p>
        </w:tc>
        <w:tc>
          <w:tcPr>
            <w:tcW w:w="45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highlight w:val="none"/>
              </w:rPr>
            </w:pPr>
            <w:r>
              <w:rPr>
                <w:rFonts w:hint="eastAsia" w:ascii="Times New Roman" w:hAnsi="Times New Roman" w:eastAsia="黑体" w:cs="黑体"/>
                <w:snapToGrid w:val="0"/>
                <w:color w:val="000000"/>
                <w:sz w:val="20"/>
                <w:szCs w:val="20"/>
                <w:highlight w:val="none"/>
              </w:rPr>
              <w:t>权力</w:t>
            </w:r>
          </w:p>
          <w:p>
            <w:pPr>
              <w:widowControl/>
              <w:adjustRightInd w:val="0"/>
              <w:snapToGrid w:val="0"/>
              <w:spacing w:line="300" w:lineRule="exact"/>
              <w:jc w:val="center"/>
              <w:rPr>
                <w:rFonts w:hint="eastAsia" w:ascii="Times New Roman" w:hAnsi="Times New Roman" w:eastAsia="黑体" w:cs="黑体"/>
                <w:snapToGrid w:val="0"/>
                <w:color w:val="000000"/>
                <w:sz w:val="20"/>
                <w:szCs w:val="20"/>
                <w:highlight w:val="none"/>
              </w:rPr>
            </w:pPr>
            <w:r>
              <w:rPr>
                <w:rFonts w:hint="eastAsia" w:ascii="Times New Roman" w:hAnsi="Times New Roman" w:eastAsia="黑体" w:cs="黑体"/>
                <w:snapToGrid w:val="0"/>
                <w:color w:val="000000"/>
                <w:sz w:val="20"/>
                <w:szCs w:val="20"/>
                <w:highlight w:val="none"/>
              </w:rPr>
              <w:t>分类</w:t>
            </w:r>
          </w:p>
        </w:tc>
        <w:tc>
          <w:tcPr>
            <w:tcW w:w="5219" w:type="dxa"/>
            <w:gridSpan w:val="5"/>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highlight w:val="none"/>
              </w:rPr>
            </w:pPr>
            <w:r>
              <w:rPr>
                <w:rFonts w:hint="eastAsia" w:ascii="Times New Roman" w:hAnsi="Times New Roman" w:eastAsia="黑体" w:cs="黑体"/>
                <w:snapToGrid w:val="0"/>
                <w:color w:val="000000"/>
                <w:sz w:val="20"/>
                <w:szCs w:val="20"/>
                <w:highlight w:val="none"/>
              </w:rPr>
              <w:t>权力清单</w:t>
            </w:r>
          </w:p>
        </w:tc>
        <w:tc>
          <w:tcPr>
            <w:tcW w:w="13671" w:type="dxa"/>
            <w:gridSpan w:val="4"/>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highlight w:val="none"/>
              </w:rPr>
            </w:pPr>
            <w:r>
              <w:rPr>
                <w:rFonts w:hint="eastAsia" w:ascii="Times New Roman" w:hAnsi="Times New Roman" w:eastAsia="黑体" w:cs="黑体"/>
                <w:snapToGrid w:val="0"/>
                <w:color w:val="000000"/>
                <w:sz w:val="20"/>
                <w:szCs w:val="20"/>
                <w:highlight w:val="none"/>
              </w:rPr>
              <w:t>责任清单</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highlight w:val="none"/>
              </w:rPr>
            </w:pPr>
          </w:p>
        </w:tc>
        <w:tc>
          <w:tcPr>
            <w:tcW w:w="73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highlight w:val="none"/>
              </w:rPr>
            </w:pPr>
            <w:r>
              <w:rPr>
                <w:rFonts w:hint="eastAsia" w:ascii="Times New Roman" w:hAnsi="Times New Roman" w:eastAsia="黑体" w:cs="黑体"/>
                <w:snapToGrid w:val="0"/>
                <w:color w:val="000000"/>
                <w:sz w:val="20"/>
                <w:szCs w:val="20"/>
                <w:highlight w:val="none"/>
              </w:rPr>
              <w:t>备注</w:t>
            </w:r>
          </w:p>
        </w:tc>
      </w:tr>
      <w:tr>
        <w:tblPrEx>
          <w:tblCellMar>
            <w:top w:w="28" w:type="dxa"/>
            <w:left w:w="28" w:type="dxa"/>
            <w:bottom w:w="28" w:type="dxa"/>
            <w:right w:w="28" w:type="dxa"/>
          </w:tblCellMar>
        </w:tblPrEx>
        <w:trPr>
          <w:trHeight w:val="90" w:hRule="atLeast"/>
          <w:tblHeader/>
        </w:trPr>
        <w:tc>
          <w:tcPr>
            <w:tcW w:w="52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highlight w:val="none"/>
              </w:rPr>
            </w:pPr>
          </w:p>
        </w:tc>
        <w:tc>
          <w:tcPr>
            <w:tcW w:w="45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highlight w:val="none"/>
              </w:rPr>
            </w:pP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highlight w:val="none"/>
              </w:rPr>
            </w:pPr>
            <w:r>
              <w:rPr>
                <w:rFonts w:hint="eastAsia" w:ascii="Times New Roman" w:hAnsi="Times New Roman" w:eastAsia="黑体" w:cs="黑体"/>
                <w:snapToGrid w:val="0"/>
                <w:color w:val="000000"/>
                <w:sz w:val="20"/>
                <w:szCs w:val="20"/>
                <w:highlight w:val="none"/>
              </w:rPr>
              <w:t>项目名称</w:t>
            </w:r>
          </w:p>
        </w:tc>
        <w:tc>
          <w:tcPr>
            <w:tcW w:w="60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highlight w:val="none"/>
              </w:rPr>
            </w:pPr>
            <w:r>
              <w:rPr>
                <w:rFonts w:hint="eastAsia" w:ascii="Times New Roman" w:hAnsi="Times New Roman" w:eastAsia="黑体" w:cs="黑体"/>
                <w:snapToGrid w:val="0"/>
                <w:color w:val="000000"/>
                <w:sz w:val="20"/>
                <w:szCs w:val="20"/>
                <w:highlight w:val="none"/>
              </w:rPr>
              <w:t>子项名称</w:t>
            </w:r>
          </w:p>
        </w:tc>
        <w:tc>
          <w:tcPr>
            <w:tcW w:w="47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highlight w:val="none"/>
                <w:lang w:eastAsia="zh-CN"/>
              </w:rPr>
            </w:pPr>
            <w:r>
              <w:rPr>
                <w:rFonts w:hint="eastAsia" w:ascii="Times New Roman" w:hAnsi="Times New Roman" w:eastAsia="黑体" w:cs="黑体"/>
                <w:snapToGrid w:val="0"/>
                <w:color w:val="000000"/>
                <w:sz w:val="20"/>
                <w:szCs w:val="20"/>
                <w:highlight w:val="none"/>
              </w:rPr>
              <w:t>实施</w:t>
            </w:r>
            <w:r>
              <w:rPr>
                <w:rFonts w:hint="eastAsia" w:eastAsia="黑体" w:cs="黑体"/>
                <w:snapToGrid w:val="0"/>
                <w:color w:val="000000"/>
                <w:sz w:val="20"/>
                <w:szCs w:val="20"/>
                <w:highlight w:val="none"/>
                <w:lang w:val="en-US" w:eastAsia="zh-CN"/>
              </w:rPr>
              <w:t>主体</w:t>
            </w:r>
          </w:p>
        </w:tc>
        <w:tc>
          <w:tcPr>
            <w:tcW w:w="72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default" w:ascii="Times New Roman" w:hAnsi="Times New Roman" w:eastAsia="黑体" w:cs="黑体"/>
                <w:snapToGrid w:val="0"/>
                <w:color w:val="000000"/>
                <w:sz w:val="20"/>
                <w:szCs w:val="20"/>
                <w:highlight w:val="none"/>
                <w:lang w:val="en-US" w:eastAsia="zh-CN"/>
              </w:rPr>
            </w:pPr>
            <w:r>
              <w:rPr>
                <w:rFonts w:hint="eastAsia" w:eastAsia="黑体" w:cs="黑体"/>
                <w:snapToGrid w:val="0"/>
                <w:color w:val="000000"/>
                <w:sz w:val="20"/>
                <w:szCs w:val="20"/>
                <w:highlight w:val="none"/>
                <w:lang w:val="en-US" w:eastAsia="zh-CN"/>
              </w:rPr>
              <w:t>承办的内设机构</w:t>
            </w:r>
          </w:p>
        </w:tc>
        <w:tc>
          <w:tcPr>
            <w:tcW w:w="293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highlight w:val="none"/>
              </w:rPr>
            </w:pPr>
            <w:r>
              <w:rPr>
                <w:rFonts w:hint="eastAsia" w:ascii="Times New Roman" w:hAnsi="Times New Roman" w:eastAsia="黑体" w:cs="黑体"/>
                <w:snapToGrid w:val="0"/>
                <w:color w:val="000000"/>
                <w:sz w:val="20"/>
                <w:szCs w:val="20"/>
                <w:highlight w:val="none"/>
              </w:rPr>
              <w:t>设定依据</w:t>
            </w: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highlight w:val="none"/>
              </w:rPr>
            </w:pPr>
            <w:r>
              <w:rPr>
                <w:rFonts w:hint="eastAsia" w:ascii="Times New Roman" w:hAnsi="Times New Roman" w:eastAsia="黑体" w:cs="黑体"/>
                <w:snapToGrid w:val="0"/>
                <w:color w:val="000000"/>
                <w:sz w:val="20"/>
                <w:szCs w:val="20"/>
                <w:highlight w:val="none"/>
              </w:rPr>
              <w:t>责任事项</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黑体" w:cs="黑体"/>
                <w:snapToGrid w:val="0"/>
                <w:color w:val="000000"/>
                <w:sz w:val="20"/>
                <w:szCs w:val="20"/>
                <w:highlight w:val="none"/>
              </w:rPr>
            </w:pPr>
            <w:r>
              <w:rPr>
                <w:rFonts w:hint="eastAsia" w:ascii="Times New Roman" w:hAnsi="Times New Roman" w:eastAsia="黑体" w:cs="黑体"/>
                <w:snapToGrid w:val="0"/>
                <w:color w:val="000000"/>
                <w:sz w:val="20"/>
                <w:szCs w:val="20"/>
                <w:highlight w:val="none"/>
              </w:rPr>
              <w:t>责任事项依据</w:t>
            </w:r>
          </w:p>
        </w:tc>
        <w:tc>
          <w:tcPr>
            <w:tcW w:w="29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highlight w:val="none"/>
              </w:rPr>
            </w:pPr>
            <w:r>
              <w:rPr>
                <w:rFonts w:hint="eastAsia" w:ascii="Times New Roman" w:hAnsi="Times New Roman" w:eastAsia="仿宋_GB2312" w:cs="仿宋_GB2312"/>
                <w:snapToGrid w:val="0"/>
                <w:color w:val="000000"/>
                <w:sz w:val="20"/>
                <w:szCs w:val="20"/>
                <w:highlight w:val="none"/>
              </w:rPr>
              <w:t>追责情形</w:t>
            </w:r>
          </w:p>
        </w:tc>
        <w:tc>
          <w:tcPr>
            <w:tcW w:w="416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highlight w:val="none"/>
              </w:rPr>
            </w:pPr>
            <w:r>
              <w:rPr>
                <w:rFonts w:hint="eastAsia" w:ascii="Times New Roman" w:hAnsi="Times New Roman" w:eastAsia="仿宋_GB2312" w:cs="仿宋_GB2312"/>
                <w:snapToGrid w:val="0"/>
                <w:color w:val="000000"/>
                <w:sz w:val="20"/>
                <w:szCs w:val="20"/>
                <w:highlight w:val="none"/>
              </w:rPr>
              <w:t>追责依据</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highlight w:val="none"/>
              </w:rPr>
            </w:pPr>
            <w:r>
              <w:rPr>
                <w:rFonts w:hint="eastAsia" w:ascii="Times New Roman" w:hAnsi="Times New Roman" w:eastAsia="仿宋_GB2312" w:cs="仿宋_GB2312"/>
                <w:snapToGrid w:val="0"/>
                <w:color w:val="000000"/>
                <w:sz w:val="20"/>
                <w:szCs w:val="20"/>
                <w:highlight w:val="none"/>
              </w:rPr>
              <w:t>免责事项</w:t>
            </w:r>
          </w:p>
        </w:tc>
        <w:tc>
          <w:tcPr>
            <w:tcW w:w="73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Times New Roman" w:hAnsi="Times New Roman" w:eastAsia="仿宋_GB2312" w:cs="仿宋_GB2312"/>
                <w:snapToGrid w:val="0"/>
                <w:color w:val="000000"/>
                <w:sz w:val="20"/>
                <w:szCs w:val="20"/>
                <w:highlight w:val="none"/>
              </w:rPr>
            </w:pPr>
          </w:p>
        </w:tc>
      </w:tr>
      <w:tr>
        <w:tblPrEx>
          <w:tblCellMar>
            <w:top w:w="28" w:type="dxa"/>
            <w:left w:w="28" w:type="dxa"/>
            <w:bottom w:w="28" w:type="dxa"/>
            <w:right w:w="28" w:type="dxa"/>
          </w:tblCellMar>
        </w:tblPrEx>
        <w:trPr>
          <w:trHeight w:val="11821"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00" w:lineRule="exact"/>
              <w:jc w:val="center"/>
              <w:rPr>
                <w:rFonts w:hint="eastAsia" w:ascii="仿宋_GB2312" w:hAnsi="仿宋_GB2312" w:eastAsia="仿宋_GB2312" w:cs="仿宋_GB2312"/>
                <w:snapToGrid w:val="0"/>
                <w:sz w:val="20"/>
                <w:szCs w:val="20"/>
                <w:highlight w:val="none"/>
                <w:lang w:eastAsia="zh-CN"/>
              </w:rPr>
            </w:pPr>
            <w:r>
              <w:rPr>
                <w:rFonts w:hint="eastAsia" w:ascii="仿宋_GB2312" w:hAnsi="仿宋_GB2312" w:eastAsia="仿宋_GB2312" w:cs="仿宋_GB2312"/>
                <w:snapToGrid w:val="0"/>
                <w:sz w:val="20"/>
                <w:szCs w:val="20"/>
                <w:highlight w:val="none"/>
                <w:lang w:val="en-US" w:eastAsia="zh-CN"/>
              </w:rPr>
              <w:t>1</w:t>
            </w:r>
          </w:p>
        </w:tc>
        <w:tc>
          <w:tcPr>
            <w:tcW w:w="45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仿宋_GB2312" w:hAnsi="仿宋_GB2312" w:eastAsia="仿宋_GB2312" w:cs="仿宋_GB2312"/>
                <w:snapToGrid w:val="0"/>
                <w:sz w:val="20"/>
                <w:szCs w:val="20"/>
                <w:highlight w:val="none"/>
              </w:rPr>
            </w:pPr>
            <w:r>
              <w:rPr>
                <w:rFonts w:hint="eastAsia" w:ascii="仿宋_GB2312" w:hAnsi="仿宋_GB2312" w:eastAsia="仿宋_GB2312" w:cs="仿宋_GB2312"/>
                <w:snapToGrid w:val="0"/>
                <w:sz w:val="20"/>
                <w:szCs w:val="20"/>
                <w:highlight w:val="none"/>
              </w:rPr>
              <w:t>行政许可</w:t>
            </w: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sz w:val="20"/>
                <w:szCs w:val="20"/>
                <w:highlight w:val="none"/>
              </w:rPr>
            </w:pPr>
            <w:r>
              <w:rPr>
                <w:rFonts w:hint="eastAsia" w:ascii="仿宋_GB2312" w:hAnsi="仿宋_GB2312" w:eastAsia="仿宋_GB2312" w:cs="仿宋_GB2312"/>
                <w:snapToGrid w:val="0"/>
                <w:sz w:val="20"/>
                <w:szCs w:val="20"/>
                <w:highlight w:val="none"/>
              </w:rPr>
              <w:t>适龄儿童、少年因身体状况需要延缓入学或者休学审批</w:t>
            </w:r>
          </w:p>
        </w:tc>
        <w:tc>
          <w:tcPr>
            <w:tcW w:w="60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sz w:val="20"/>
                <w:szCs w:val="20"/>
                <w:highlight w:val="none"/>
              </w:rPr>
            </w:pPr>
            <w:r>
              <w:rPr>
                <w:rFonts w:hint="eastAsia" w:ascii="仿宋_GB2312" w:hAnsi="仿宋_GB2312" w:eastAsia="仿宋_GB2312" w:cs="仿宋_GB2312"/>
                <w:snapToGrid w:val="0"/>
                <w:sz w:val="20"/>
                <w:szCs w:val="20"/>
                <w:highlight w:val="none"/>
              </w:rPr>
              <w:t>　</w:t>
            </w:r>
          </w:p>
        </w:tc>
        <w:tc>
          <w:tcPr>
            <w:tcW w:w="47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sz w:val="20"/>
                <w:szCs w:val="20"/>
                <w:highlight w:val="none"/>
                <w:lang w:val="en-US" w:eastAsia="zh-CN"/>
              </w:rPr>
            </w:pPr>
            <w:r>
              <w:rPr>
                <w:rFonts w:hint="eastAsia" w:ascii="仿宋_GB2312" w:hAnsi="仿宋_GB2312" w:eastAsia="仿宋_GB2312" w:cs="仿宋_GB2312"/>
                <w:snapToGrid w:val="0"/>
                <w:sz w:val="20"/>
                <w:szCs w:val="20"/>
                <w:highlight w:val="none"/>
                <w:lang w:val="en-US" w:eastAsia="zh-CN"/>
              </w:rPr>
              <w:t>三江侗族自治县</w:t>
            </w:r>
            <w:r>
              <w:rPr>
                <w:rFonts w:hint="eastAsia" w:ascii="仿宋_GB2312" w:hAnsi="仿宋_GB2312" w:eastAsia="仿宋_GB2312" w:cs="仿宋_GB2312"/>
                <w:snapToGrid w:val="0"/>
                <w:sz w:val="20"/>
                <w:szCs w:val="20"/>
                <w:highlight w:val="none"/>
                <w:lang w:eastAsia="zh-CN"/>
              </w:rPr>
              <w:t>古宜镇</w:t>
            </w:r>
            <w:r>
              <w:rPr>
                <w:rFonts w:hint="eastAsia" w:ascii="仿宋_GB2312" w:hAnsi="仿宋_GB2312" w:eastAsia="仿宋_GB2312" w:cs="仿宋_GB2312"/>
                <w:snapToGrid w:val="0"/>
                <w:sz w:val="20"/>
                <w:szCs w:val="20"/>
                <w:highlight w:val="none"/>
                <w:lang w:val="en-US" w:eastAsia="zh-CN"/>
              </w:rPr>
              <w:t>人民政府</w:t>
            </w:r>
          </w:p>
        </w:tc>
        <w:tc>
          <w:tcPr>
            <w:tcW w:w="72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0" w:firstLineChars="0"/>
              <w:jc w:val="center"/>
              <w:rPr>
                <w:rFonts w:hint="eastAsia" w:ascii="仿宋_GB2312" w:hAnsi="仿宋_GB2312" w:eastAsia="仿宋_GB2312" w:cs="仿宋_GB2312"/>
                <w:snapToGrid w:val="0"/>
                <w:sz w:val="20"/>
                <w:szCs w:val="20"/>
                <w:highlight w:val="none"/>
                <w:lang w:val="en-US" w:eastAsia="zh-CN"/>
              </w:rPr>
            </w:pPr>
            <w:r>
              <w:rPr>
                <w:rFonts w:hint="eastAsia" w:ascii="仿宋_GB2312" w:hAnsi="仿宋_GB2312" w:eastAsia="仿宋_GB2312" w:cs="仿宋_GB2312"/>
                <w:snapToGrid w:val="0"/>
                <w:sz w:val="20"/>
                <w:szCs w:val="20"/>
                <w:highlight w:val="none"/>
                <w:lang w:val="en-US" w:eastAsia="zh-CN"/>
              </w:rPr>
              <w:t>社会经济发展办公室</w:t>
            </w:r>
          </w:p>
        </w:tc>
        <w:tc>
          <w:tcPr>
            <w:tcW w:w="293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highlight w:val="none"/>
              </w:rPr>
            </w:pPr>
            <w:r>
              <w:rPr>
                <w:rFonts w:hint="eastAsia" w:ascii="仿宋_GB2312" w:hAnsi="仿宋_GB2312" w:eastAsia="仿宋_GB2312" w:cs="仿宋_GB2312"/>
                <w:snapToGrid w:val="0"/>
                <w:sz w:val="20"/>
                <w:szCs w:val="20"/>
                <w:highlight w:val="none"/>
              </w:rPr>
              <w:t>1.【法律】《中华人民共和国义务教育法》第十一</w:t>
            </w:r>
            <w:r>
              <w:rPr>
                <w:rFonts w:hint="eastAsia" w:ascii="仿宋_GB2312" w:hAnsi="仿宋_GB2312" w:eastAsia="仿宋_GB2312" w:cs="仿宋_GB2312"/>
                <w:snapToGrid w:val="0"/>
                <w:sz w:val="20"/>
                <w:szCs w:val="20"/>
                <w:highlight w:val="none"/>
                <w:lang w:eastAsia="zh-CN"/>
              </w:rPr>
              <w:t>条：</w:t>
            </w:r>
            <w:r>
              <w:rPr>
                <w:rFonts w:hint="eastAsia" w:ascii="仿宋_GB2312" w:hAnsi="仿宋_GB2312" w:eastAsia="仿宋_GB2312" w:cs="仿宋_GB2312"/>
                <w:snapToGrid w:val="0"/>
                <w:sz w:val="20"/>
                <w:szCs w:val="20"/>
                <w:highlight w:val="none"/>
              </w:rPr>
              <w:t xml:space="preserve">   适龄儿童、少年因身体状况需要延缓入学或者休学的，其父母或者其他法定监护人应当提出申请，由当地乡镇人民政府或者县级人民政府教育行政部门批准。</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highlight w:val="none"/>
              </w:rPr>
            </w:pPr>
            <w:r>
              <w:rPr>
                <w:rFonts w:hint="eastAsia" w:ascii="仿宋_GB2312" w:hAnsi="仿宋_GB2312" w:eastAsia="仿宋_GB2312" w:cs="仿宋_GB2312"/>
                <w:snapToGrid w:val="0"/>
                <w:sz w:val="20"/>
                <w:szCs w:val="20"/>
                <w:highlight w:val="none"/>
              </w:rPr>
              <w:t>2.【规范性文件】《广西壮族自治区义务教育学籍管理实施办法》（桂教规范〔2013〕2号）第七</w:t>
            </w:r>
            <w:r>
              <w:rPr>
                <w:rFonts w:hint="eastAsia" w:ascii="仿宋_GB2312" w:hAnsi="仿宋_GB2312" w:eastAsia="仿宋_GB2312" w:cs="仿宋_GB2312"/>
                <w:snapToGrid w:val="0"/>
                <w:sz w:val="20"/>
                <w:szCs w:val="20"/>
                <w:highlight w:val="none"/>
                <w:lang w:eastAsia="zh-CN"/>
              </w:rPr>
              <w:t>条：</w:t>
            </w:r>
            <w:r>
              <w:rPr>
                <w:rFonts w:hint="eastAsia" w:ascii="仿宋_GB2312" w:hAnsi="仿宋_GB2312" w:eastAsia="仿宋_GB2312" w:cs="仿宋_GB2312"/>
                <w:snapToGrid w:val="0"/>
                <w:sz w:val="20"/>
                <w:szCs w:val="20"/>
                <w:highlight w:val="none"/>
              </w:rPr>
              <w:t>因疾病或残疾等原因不能按时入学或要求免学的适龄儿童、少年，其父母或其他法定监护人要向当地人民政府或县级以上（含县）教育行政部门提出缓学或免学书面申请，并出具县级以上（含县）医院有效证明材料。缓学时间原则为一学年，缓学期满仍不能就学的，应当重新提出缓学申请。</w:t>
            </w: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highlight w:val="none"/>
              </w:rPr>
            </w:pPr>
            <w:r>
              <w:rPr>
                <w:rFonts w:hint="eastAsia" w:ascii="仿宋_GB2312" w:hAnsi="仿宋_GB2312" w:eastAsia="仿宋_GB2312" w:cs="仿宋_GB2312"/>
                <w:snapToGrid w:val="0"/>
                <w:sz w:val="20"/>
                <w:szCs w:val="20"/>
                <w:highlight w:val="none"/>
              </w:rPr>
              <w:t>1.受理阶段责任：在办公场所公示依法应当提交的材料；一次性告知补正材料；依法受理或不予受理（不予受理应当告知理由）。</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highlight w:val="none"/>
              </w:rPr>
            </w:pPr>
            <w:r>
              <w:rPr>
                <w:rFonts w:hint="eastAsia" w:ascii="仿宋_GB2312" w:hAnsi="仿宋_GB2312" w:eastAsia="仿宋_GB2312" w:cs="仿宋_GB2312"/>
                <w:snapToGrid w:val="0"/>
                <w:sz w:val="20"/>
                <w:szCs w:val="20"/>
                <w:highlight w:val="none"/>
              </w:rPr>
              <w:t>2.审查阶段责任：依据相关法律法规对申请材料进行审查。必要时应当告知并听取各方当事人的意见。</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highlight w:val="none"/>
              </w:rPr>
            </w:pPr>
            <w:r>
              <w:rPr>
                <w:rFonts w:hint="eastAsia" w:ascii="仿宋_GB2312" w:hAnsi="仿宋_GB2312" w:eastAsia="仿宋_GB2312" w:cs="仿宋_GB2312"/>
                <w:snapToGrid w:val="0"/>
                <w:sz w:val="20"/>
                <w:szCs w:val="20"/>
                <w:highlight w:val="none"/>
              </w:rPr>
              <w:t>3.决定阶段责任：作出许可决定、审核意见或不予准许决定，法定告知（不予核准的书面告知并说明理由）。</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highlight w:val="none"/>
              </w:rPr>
            </w:pPr>
            <w:r>
              <w:rPr>
                <w:rFonts w:hint="eastAsia" w:ascii="仿宋_GB2312" w:hAnsi="仿宋_GB2312" w:eastAsia="仿宋_GB2312" w:cs="仿宋_GB2312"/>
                <w:snapToGrid w:val="0"/>
                <w:sz w:val="20"/>
                <w:szCs w:val="20"/>
                <w:highlight w:val="none"/>
              </w:rPr>
              <w:t>4.送达阶段责任：制发许可决定书，按规定抄送有关部门、信息公开。</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highlight w:val="none"/>
              </w:rPr>
            </w:pPr>
            <w:r>
              <w:rPr>
                <w:rFonts w:hint="eastAsia" w:ascii="仿宋_GB2312" w:hAnsi="仿宋_GB2312" w:eastAsia="仿宋_GB2312" w:cs="仿宋_GB2312"/>
                <w:snapToGrid w:val="0"/>
                <w:sz w:val="20"/>
                <w:szCs w:val="20"/>
                <w:highlight w:val="none"/>
              </w:rPr>
              <w:t>5.事后监管阶段责任：建立行政许可档案，加强监督检查。</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highlight w:val="none"/>
              </w:rPr>
            </w:pPr>
            <w:r>
              <w:rPr>
                <w:rFonts w:hint="eastAsia" w:ascii="仿宋_GB2312" w:hAnsi="仿宋_GB2312" w:eastAsia="仿宋_GB2312" w:cs="仿宋_GB2312"/>
                <w:snapToGrid w:val="0"/>
                <w:sz w:val="20"/>
                <w:szCs w:val="20"/>
                <w:highlight w:val="none"/>
              </w:rPr>
              <w:t>6.其他法律法规规章文件规定应承担的责任。</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highlight w:val="none"/>
              </w:rPr>
            </w:pPr>
            <w:r>
              <w:rPr>
                <w:rFonts w:hint="eastAsia" w:ascii="仿宋_GB2312" w:hAnsi="仿宋_GB2312" w:eastAsia="仿宋_GB2312" w:cs="仿宋_GB2312"/>
                <w:snapToGrid w:val="0"/>
                <w:sz w:val="20"/>
                <w:szCs w:val="20"/>
                <w:highlight w:val="none"/>
              </w:rPr>
              <w:t>1.【部门规章】《实施教育行政许可若干规定》（2005年教育部令第22号）第六</w:t>
            </w:r>
            <w:r>
              <w:rPr>
                <w:rFonts w:hint="eastAsia" w:ascii="仿宋_GB2312" w:hAnsi="仿宋_GB2312" w:eastAsia="仿宋_GB2312" w:cs="仿宋_GB2312"/>
                <w:snapToGrid w:val="0"/>
                <w:sz w:val="20"/>
                <w:szCs w:val="20"/>
                <w:highlight w:val="none"/>
                <w:lang w:eastAsia="zh-CN"/>
              </w:rPr>
              <w:t>条：</w:t>
            </w:r>
            <w:r>
              <w:rPr>
                <w:rFonts w:hint="eastAsia" w:ascii="仿宋_GB2312" w:hAnsi="仿宋_GB2312" w:eastAsia="仿宋_GB2312" w:cs="仿宋_GB2312"/>
                <w:snapToGrid w:val="0"/>
                <w:sz w:val="20"/>
                <w:szCs w:val="20"/>
                <w:highlight w:val="none"/>
              </w:rPr>
              <w:t xml:space="preserve"> 教育行政部门应当在办公场所公示以下内容：（一）行政许可的事项、依据、条件、数量、程序、期限；（二）申请行政许可需要提交的全部资料目录；（三）申请书示范文本；（四）收取费用的法定项目和标准；（五）法律、法规、规章规定需要公示的其他内容。除涉及国家秘密、商业秘密和个人隐私以外，教育行政部门应当通过政府网站或者其他适当方式将前款内容向社会公开，便于申请人查询和办理。申请人要求对公示内容予以说明、解释的，教育行政部门应当说明、解释，提供准确、可靠的信息。</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highlight w:val="none"/>
              </w:rPr>
            </w:pPr>
            <w:r>
              <w:rPr>
                <w:rFonts w:hint="eastAsia" w:ascii="仿宋_GB2312" w:hAnsi="仿宋_GB2312" w:eastAsia="仿宋_GB2312" w:cs="仿宋_GB2312"/>
                <w:snapToGrid w:val="0"/>
                <w:sz w:val="20"/>
                <w:szCs w:val="20"/>
                <w:highlight w:val="none"/>
              </w:rPr>
              <w:t>第十一</w:t>
            </w:r>
            <w:r>
              <w:rPr>
                <w:rFonts w:hint="eastAsia" w:ascii="仿宋_GB2312" w:hAnsi="仿宋_GB2312" w:eastAsia="仿宋_GB2312" w:cs="仿宋_GB2312"/>
                <w:snapToGrid w:val="0"/>
                <w:sz w:val="20"/>
                <w:szCs w:val="20"/>
                <w:highlight w:val="none"/>
                <w:lang w:eastAsia="zh-CN"/>
              </w:rPr>
              <w:t>条：</w:t>
            </w:r>
            <w:r>
              <w:rPr>
                <w:rFonts w:hint="eastAsia" w:ascii="仿宋_GB2312" w:hAnsi="仿宋_GB2312" w:eastAsia="仿宋_GB2312" w:cs="仿宋_GB2312"/>
                <w:snapToGrid w:val="0"/>
                <w:sz w:val="20"/>
                <w:szCs w:val="20"/>
                <w:highlight w:val="none"/>
              </w:rPr>
              <w:t>教育行政部门受理或者不予受理行政许可申请，应当自收到符合法定形式的全部行政许可申请材料后5日内，出具加盖本行政机关专用印章和注明日期的书面凭证。申请材料不齐全或者不符合法定形式的，自收到全部补正申请材料之日起计算；行政机关未告知申请人需要补正的，自收到申请材料之日起计算。</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highlight w:val="none"/>
              </w:rPr>
            </w:pPr>
            <w:r>
              <w:rPr>
                <w:rFonts w:hint="eastAsia" w:ascii="仿宋_GB2312" w:hAnsi="仿宋_GB2312" w:eastAsia="仿宋_GB2312" w:cs="仿宋_GB2312"/>
                <w:snapToGrid w:val="0"/>
                <w:sz w:val="20"/>
                <w:szCs w:val="20"/>
                <w:highlight w:val="none"/>
              </w:rPr>
              <w:t>2.【部门规章】《实施教育行政许可若干规定》（2005年教育部令第22号）第十二</w:t>
            </w:r>
            <w:r>
              <w:rPr>
                <w:rFonts w:hint="eastAsia" w:ascii="仿宋_GB2312" w:hAnsi="仿宋_GB2312" w:eastAsia="仿宋_GB2312" w:cs="仿宋_GB2312"/>
                <w:snapToGrid w:val="0"/>
                <w:sz w:val="20"/>
                <w:szCs w:val="20"/>
                <w:highlight w:val="none"/>
                <w:lang w:eastAsia="zh-CN"/>
              </w:rPr>
              <w:t>条：</w:t>
            </w:r>
            <w:r>
              <w:rPr>
                <w:rFonts w:hint="eastAsia" w:ascii="仿宋_GB2312" w:hAnsi="仿宋_GB2312" w:eastAsia="仿宋_GB2312" w:cs="仿宋_GB2312"/>
                <w:snapToGrid w:val="0"/>
                <w:sz w:val="20"/>
                <w:szCs w:val="20"/>
                <w:highlight w:val="none"/>
              </w:rPr>
              <w:t>教育行政部门受理行政许可申请后，应当对申请人提交的申请材料进行审查。申请人对其申请材料实质内容的真实性负责。根据法律、法规、规章的规定需要对申请材料的实质内容进行核实的，教育行政部门应当指派两名以上工作人员共同进行。核查人员核查时应当出示证件，根据核查的情况制作核查记录，并由核查人员与被核查方共同签字确认。被核查方拒绝签字的，核查人员应予注明。</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highlight w:val="none"/>
              </w:rPr>
            </w:pPr>
            <w:r>
              <w:rPr>
                <w:rFonts w:hint="eastAsia" w:ascii="仿宋_GB2312" w:hAnsi="仿宋_GB2312" w:eastAsia="仿宋_GB2312" w:cs="仿宋_GB2312"/>
                <w:snapToGrid w:val="0"/>
                <w:sz w:val="20"/>
                <w:szCs w:val="20"/>
                <w:highlight w:val="none"/>
              </w:rPr>
              <w:t>3.【部门规章】《实施教育行政许可若干规定》（2005年教育部令第22号）第十八</w:t>
            </w:r>
            <w:r>
              <w:rPr>
                <w:rFonts w:hint="eastAsia" w:ascii="仿宋_GB2312" w:hAnsi="仿宋_GB2312" w:eastAsia="仿宋_GB2312" w:cs="仿宋_GB2312"/>
                <w:snapToGrid w:val="0"/>
                <w:sz w:val="20"/>
                <w:szCs w:val="20"/>
                <w:highlight w:val="none"/>
                <w:lang w:eastAsia="zh-CN"/>
              </w:rPr>
              <w:t>条：</w:t>
            </w:r>
            <w:r>
              <w:rPr>
                <w:rFonts w:hint="eastAsia" w:ascii="仿宋_GB2312" w:hAnsi="仿宋_GB2312" w:eastAsia="仿宋_GB2312" w:cs="仿宋_GB2312"/>
                <w:snapToGrid w:val="0"/>
                <w:sz w:val="20"/>
                <w:szCs w:val="20"/>
                <w:highlight w:val="none"/>
              </w:rPr>
              <w:t>除法律、法规授权组织外，实施行政许可，应当以教育行政部门名义作出。有关行政许可的文书、证件，应当以实施行政许可的教育行政部门名义签发并对外发布。</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highlight w:val="none"/>
              </w:rPr>
            </w:pPr>
            <w:r>
              <w:rPr>
                <w:rFonts w:hint="eastAsia" w:ascii="仿宋_GB2312" w:hAnsi="仿宋_GB2312" w:eastAsia="仿宋_GB2312" w:cs="仿宋_GB2312"/>
                <w:snapToGrid w:val="0"/>
                <w:sz w:val="20"/>
                <w:szCs w:val="20"/>
                <w:highlight w:val="none"/>
              </w:rPr>
              <w:t>第十九</w:t>
            </w:r>
            <w:r>
              <w:rPr>
                <w:rFonts w:hint="eastAsia" w:ascii="仿宋_GB2312" w:hAnsi="仿宋_GB2312" w:eastAsia="仿宋_GB2312" w:cs="仿宋_GB2312"/>
                <w:snapToGrid w:val="0"/>
                <w:sz w:val="20"/>
                <w:szCs w:val="20"/>
                <w:highlight w:val="none"/>
                <w:lang w:eastAsia="zh-CN"/>
              </w:rPr>
              <w:t>条：</w:t>
            </w:r>
            <w:r>
              <w:rPr>
                <w:rFonts w:hint="eastAsia" w:ascii="仿宋_GB2312" w:hAnsi="仿宋_GB2312" w:eastAsia="仿宋_GB2312" w:cs="仿宋_GB2312"/>
                <w:snapToGrid w:val="0"/>
                <w:sz w:val="20"/>
                <w:szCs w:val="20"/>
                <w:highlight w:val="none"/>
              </w:rPr>
              <w:t>教育行政部门作出准予行政许可的决定，应当制作格式化的准予行政许可决定书，并予以公开，公众有权查阅。需要颁发行政许可证件的，应当向申请人颁发加盖本行政机关印章的许可证、资格证、批准文件或者法律、法规规定的其他行政许可证件。教育行政部门依法作出不予行政许可的书面决定的，应当向申请人书面说明理由，并告知申请人依法申请行政复议或者提起行政诉讼的途径和期限。</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highlight w:val="none"/>
              </w:rPr>
            </w:pPr>
            <w:r>
              <w:rPr>
                <w:rFonts w:hint="eastAsia" w:ascii="仿宋_GB2312" w:hAnsi="仿宋_GB2312" w:eastAsia="仿宋_GB2312" w:cs="仿宋_GB2312"/>
                <w:snapToGrid w:val="0"/>
                <w:sz w:val="20"/>
                <w:szCs w:val="20"/>
                <w:highlight w:val="none"/>
              </w:rPr>
              <w:t>4.【部门规章】《实施教育行政许可若干规定》（2005年教育部令第22号）第二十</w:t>
            </w:r>
            <w:r>
              <w:rPr>
                <w:rFonts w:hint="eastAsia" w:ascii="仿宋_GB2312" w:hAnsi="仿宋_GB2312" w:eastAsia="仿宋_GB2312" w:cs="仿宋_GB2312"/>
                <w:snapToGrid w:val="0"/>
                <w:sz w:val="20"/>
                <w:szCs w:val="20"/>
                <w:highlight w:val="none"/>
                <w:lang w:eastAsia="zh-CN"/>
              </w:rPr>
              <w:t>条：</w:t>
            </w:r>
            <w:r>
              <w:rPr>
                <w:rFonts w:hint="eastAsia" w:ascii="仿宋_GB2312" w:hAnsi="仿宋_GB2312" w:eastAsia="仿宋_GB2312" w:cs="仿宋_GB2312"/>
                <w:snapToGrid w:val="0"/>
                <w:sz w:val="20"/>
                <w:szCs w:val="20"/>
                <w:highlight w:val="none"/>
              </w:rPr>
              <w:t>教育行政部门送达行政许可决定以及其他行政许可文书，一般应当由受送达人直接领取。受送达人直接领取行政许可决定以及其他行政许可文书时，应当在送达回证上注明收到日期，并签名或者盖章。受送达人不直接领取行政许可决定以及其他行政许可文书的，教育行政部门可以采取邮寄送达、委托送达等方式。无法采取上述方式送达，或者同一送达事项的受送达人众多的，可以在公告栏、受送达人住所地张贴公告，也可以在报刊上刊登公告。</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highlight w:val="none"/>
              </w:rPr>
            </w:pPr>
            <w:r>
              <w:rPr>
                <w:rFonts w:hint="eastAsia" w:ascii="仿宋_GB2312" w:hAnsi="仿宋_GB2312" w:eastAsia="仿宋_GB2312" w:cs="仿宋_GB2312"/>
                <w:snapToGrid w:val="0"/>
                <w:sz w:val="20"/>
                <w:szCs w:val="20"/>
                <w:highlight w:val="none"/>
              </w:rPr>
              <w:t>5.【部门规章】《实施教育行政许可若干规定》（2005年教育部令第22号）第二十三</w:t>
            </w:r>
            <w:r>
              <w:rPr>
                <w:rFonts w:hint="eastAsia" w:ascii="仿宋_GB2312" w:hAnsi="仿宋_GB2312" w:eastAsia="仿宋_GB2312" w:cs="仿宋_GB2312"/>
                <w:snapToGrid w:val="0"/>
                <w:sz w:val="20"/>
                <w:szCs w:val="20"/>
                <w:highlight w:val="none"/>
                <w:lang w:eastAsia="zh-CN"/>
              </w:rPr>
              <w:t>条：</w:t>
            </w:r>
            <w:r>
              <w:rPr>
                <w:rFonts w:hint="eastAsia" w:ascii="仿宋_GB2312" w:hAnsi="仿宋_GB2312" w:eastAsia="仿宋_GB2312" w:cs="仿宋_GB2312"/>
                <w:snapToGrid w:val="0"/>
                <w:sz w:val="20"/>
                <w:szCs w:val="20"/>
                <w:highlight w:val="none"/>
              </w:rPr>
              <w:t>教育行政部门应当按照行政许可法的规定，建立检查、备案、档案管理等制度。对被许可人从事行政许可事项的活动进行监督检查时，应当制作笔录，笔录归档后，公众有权查阅。</w:t>
            </w: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highlight w:val="none"/>
              </w:rPr>
            </w:pP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highlight w:val="none"/>
              </w:rPr>
            </w:pPr>
          </w:p>
          <w:p>
            <w:pPr>
              <w:widowControl/>
              <w:adjustRightInd w:val="0"/>
              <w:snapToGrid w:val="0"/>
              <w:spacing w:line="300" w:lineRule="exact"/>
              <w:rPr>
                <w:rFonts w:hint="eastAsia" w:ascii="仿宋_GB2312" w:hAnsi="仿宋_GB2312" w:eastAsia="仿宋_GB2312" w:cs="仿宋_GB2312"/>
                <w:snapToGrid w:val="0"/>
                <w:sz w:val="20"/>
                <w:szCs w:val="20"/>
                <w:highlight w:val="none"/>
              </w:rPr>
            </w:pPr>
          </w:p>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highlight w:val="none"/>
              </w:rPr>
            </w:pPr>
          </w:p>
        </w:tc>
        <w:tc>
          <w:tcPr>
            <w:tcW w:w="2969" w:type="dxa"/>
            <w:tcBorders>
              <w:top w:val="single" w:color="auto" w:sz="4" w:space="0"/>
              <w:left w:val="nil"/>
              <w:bottom w:val="single" w:color="auto" w:sz="4" w:space="0"/>
              <w:right w:val="single" w:color="auto"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color w:val="auto"/>
                <w:sz w:val="20"/>
                <w:szCs w:val="20"/>
                <w:highlight w:val="none"/>
              </w:rPr>
              <w:t xml:space="preserve"> </w:t>
            </w:r>
            <w:r>
              <w:rPr>
                <w:rFonts w:hint="eastAsia" w:ascii="仿宋_GB2312" w:hAnsi="仿宋_GB2312" w:eastAsia="仿宋_GB2312" w:cs="仿宋_GB2312"/>
                <w:i w:val="0"/>
                <w:iCs w:val="0"/>
                <w:caps w:val="0"/>
                <w:color w:val="auto"/>
                <w:spacing w:val="0"/>
                <w:sz w:val="20"/>
                <w:szCs w:val="20"/>
                <w:highlight w:val="none"/>
                <w:shd w:val="clear" w:fill="FFFFFF"/>
              </w:rPr>
              <w:t>因不履行或不正确履行行政职责，有下列情形的，行政机关及相关工作人员应承担相应责任：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w:t>
            </w:r>
            <w:bookmarkStart w:id="1" w:name="_GoBack"/>
            <w:bookmarkEnd w:id="1"/>
            <w:r>
              <w:rPr>
                <w:rFonts w:hint="eastAsia" w:ascii="仿宋_GB2312" w:hAnsi="仿宋_GB2312" w:eastAsia="仿宋_GB2312" w:cs="仿宋_GB2312"/>
                <w:i w:val="0"/>
                <w:iCs w:val="0"/>
                <w:caps w:val="0"/>
                <w:color w:val="auto"/>
                <w:spacing w:val="0"/>
                <w:sz w:val="20"/>
                <w:szCs w:val="20"/>
                <w:highlight w:val="none"/>
                <w:shd w:val="clear" w:fill="FFFFFF"/>
              </w:rPr>
              <w:t> 1.违反法定程序实施行政许可的；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  2.索取或者收受他人财物或者谋取其他利益的；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  3.对不符合法定条件的申请人准予行政许可或者超越法定职权作出准予行政许可决定的；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  4.对符合法定条件的申请人不予行政许可或者不在法定期限内作出准予行政许可决定的；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  5.擅自收费或者不按照法定项目和标准收费，截留、挪用、私分或者变相私分实施行政许可依法收取的费用的；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  6.行政机关不依法履行监督职责或者监督不力的；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  7.其他违反法律法规规章文件规定的行为。</w:t>
            </w:r>
          </w:p>
          <w:p>
            <w:pPr>
              <w:widowControl/>
              <w:numPr>
                <w:ilvl w:val="0"/>
                <w:numId w:val="0"/>
              </w:numPr>
              <w:adjustRightInd w:val="0"/>
              <w:snapToGrid w:val="0"/>
              <w:spacing w:line="300" w:lineRule="exact"/>
              <w:ind w:firstLine="400" w:firstLineChars="200"/>
              <w:rPr>
                <w:rFonts w:hint="eastAsia" w:ascii="仿宋_GB2312" w:hAnsi="仿宋_GB2312" w:eastAsia="仿宋_GB2312" w:cs="仿宋_GB2312"/>
                <w:snapToGrid w:val="0"/>
                <w:color w:val="auto"/>
                <w:sz w:val="20"/>
                <w:szCs w:val="20"/>
                <w:highlight w:val="none"/>
              </w:rPr>
            </w:pPr>
          </w:p>
        </w:tc>
        <w:tc>
          <w:tcPr>
            <w:tcW w:w="4161" w:type="dxa"/>
            <w:tcBorders>
              <w:top w:val="single" w:color="auto" w:sz="4" w:space="0"/>
              <w:left w:val="nil"/>
              <w:bottom w:val="single" w:color="auto" w:sz="4" w:space="0"/>
              <w:right w:val="single" w:color="auto"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snapToGrid w:val="0"/>
                <w:color w:val="auto"/>
                <w:sz w:val="20"/>
                <w:szCs w:val="20"/>
                <w:highlight w:val="none"/>
              </w:rPr>
              <w:t xml:space="preserve"> </w:t>
            </w:r>
            <w:r>
              <w:rPr>
                <w:rFonts w:hint="eastAsia" w:ascii="仿宋_GB2312" w:hAnsi="仿宋_GB2312" w:eastAsia="仿宋_GB2312" w:cs="仿宋_GB2312"/>
                <w:i w:val="0"/>
                <w:iCs w:val="0"/>
                <w:caps w:val="0"/>
                <w:color w:val="auto"/>
                <w:spacing w:val="0"/>
                <w:sz w:val="20"/>
                <w:szCs w:val="20"/>
                <w:highlight w:val="none"/>
                <w:shd w:val="clear" w:fill="FFFFFF"/>
              </w:rPr>
              <w:t>1.【地方政府规章】《广西壮族自治区实施行政许可若干规定》（2004年广西壮族自治区人民政府令第9号）第六十条　许可机关及其工作人员有下列行为之一的，有关机关应当责令改正，对直接负责的主管人员和其他直接责任人员(以下称许可过错责任人)给予警告；情节严重，造成严重后果的，给予记过或者记大过的行政处分：(一)没有法定依据擅自实施行政许可的；(二)不确定一个机构或者不通过受理机构统一受理行政许可申请、统一送达行政许可决定的；(三)不在受理场所公示依法应当公示的行政许可事项的；(四)在受理、审查、决定行政许可过程中，未向申请人、利害关系人履行法定告知义务的；(五)不一次性告知申请人必须补正的全部申请材料的：(六)未依法说明不受理申请或者不予批准的理由的；(七)未在法定期限内作出行政许可决定的；(八)依法应当举行听证而不举行听证的；(九)应当向公众公开而不公开行政许可决定、监督检查情况和处理结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   2.【地方政府规章】《广西壮族自治区实施行政许可若干规定》（2004年广西壮族自治区人民政府令第9号）第六十一条第一项　许可机关及其工作人员有下列行为之一的，有关机关应当责令改正，对许可过错责任人给予记过或者记大过的行政处分；情节严重的，给予降级或者撤职的行政处分：(一)向申请人提出不正当要求的。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    3.【地方政府规章】《广西壮族自治区实施行政许可若干规定》（2004年广西壮族自治区人民政府令第9号）第六十二条第一项　许可机关及其工作人员有下列行为之一的，有关机关应当责令改正，对许可过错责任人给予记大过或者降级的行政处分；情节严重的，给予撤职直至开除的行政处分：(一)对不符合法定条件的申请准予行政许可或者超越法定职权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    4.【地方政府规章】《广西壮族自治区实施行政许可若干规定》（2004年广西壮族自治区人民政府令第9号）第六十一条第三项　许可机关及其工作人员有下列行为之一的，有关机关应当责令改正，对许可过错责任人给予记过或者记大过的行政处分；情节严重的，给予降级或者撤职的行政处分：(三)无正当理由对符合法定条件的申请不予受理、不予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    5.【地方政府规章】《广西壮族自治区实施行政许可若干规定》（2004年广西壮族自治区人民政府令第9号）第六十一条第二项　许可机关及其工作人员有下列行为之一的，有关机关应当责令改正，对许可过错责任人给予记过或者记大过的行政处分；情节严重的，给予降级或者撤职的行政处分：(二)没有法律、行政法规作为依据向被许可人收费或者依法收费但未通过本级人民政府财政部门指定的金融机构统一收取费用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    6.【地方政府规章】《广西壮族自治区实施行政许可若干规定》（2004年广西壮族自治区人民政府令第9号）第六十二条第三项　许可机关及其工作人员有下列行为之一的，有关机关应当责令改正，对许可过错责任人给予记大过或者降级的行政处分；情节严重的，给予撤职直至开除的行政处分：(三)不依法履行行政许可监督职责或者监督不力造成严重后果的。</w:t>
            </w:r>
          </w:p>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rPr>
            </w:pPr>
          </w:p>
        </w:tc>
        <w:tc>
          <w:tcPr>
            <w:tcW w:w="117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jc w:val="center"/>
              <w:rPr>
                <w:rFonts w:hint="eastAsia" w:ascii="仿宋_GB2312" w:hAnsi="仿宋_GB2312" w:eastAsia="仿宋_GB2312" w:cs="仿宋_GB2312"/>
                <w:snapToGrid w:val="0"/>
                <w:sz w:val="20"/>
                <w:szCs w:val="20"/>
                <w:highlight w:val="none"/>
                <w:lang w:eastAsia="zh-CN"/>
              </w:rPr>
            </w:pPr>
          </w:p>
        </w:tc>
      </w:tr>
      <w:tr>
        <w:tblPrEx>
          <w:tblCellMar>
            <w:top w:w="28" w:type="dxa"/>
            <w:left w:w="28" w:type="dxa"/>
            <w:bottom w:w="28" w:type="dxa"/>
            <w:right w:w="28" w:type="dxa"/>
          </w:tblCellMar>
        </w:tblPrEx>
        <w:trPr>
          <w:trHeight w:val="10492"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99" w:lineRule="exact"/>
              <w:jc w:val="center"/>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sz w:val="20"/>
                <w:szCs w:val="20"/>
                <w:highlight w:val="none"/>
                <w:lang w:val="en-US" w:eastAsia="zh-CN"/>
              </w:rPr>
              <w:t>2</w:t>
            </w:r>
          </w:p>
        </w:tc>
        <w:tc>
          <w:tcPr>
            <w:tcW w:w="45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jc w:val="center"/>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sz w:val="20"/>
                <w:szCs w:val="20"/>
                <w:highlight w:val="none"/>
              </w:rPr>
              <w:t>行政许可</w:t>
            </w: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sz w:val="20"/>
                <w:szCs w:val="20"/>
                <w:highlight w:val="none"/>
              </w:rPr>
              <w:t>乡村建设规划许可</w:t>
            </w:r>
          </w:p>
        </w:tc>
        <w:tc>
          <w:tcPr>
            <w:tcW w:w="60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highlight w:val="none"/>
                <w:lang w:val="en-US" w:eastAsia="zh-CN" w:bidi="ar-SA"/>
              </w:rPr>
            </w:pPr>
          </w:p>
        </w:tc>
        <w:tc>
          <w:tcPr>
            <w:tcW w:w="47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sz w:val="20"/>
                <w:szCs w:val="20"/>
                <w:highlight w:val="none"/>
                <w:lang w:val="en-US" w:eastAsia="zh-CN"/>
              </w:rPr>
              <w:t>三江侗族自治县</w:t>
            </w:r>
            <w:r>
              <w:rPr>
                <w:rFonts w:hint="eastAsia" w:ascii="仿宋_GB2312" w:hAnsi="仿宋_GB2312" w:eastAsia="仿宋_GB2312" w:cs="仿宋_GB2312"/>
                <w:snapToGrid w:val="0"/>
                <w:sz w:val="20"/>
                <w:szCs w:val="20"/>
                <w:highlight w:val="none"/>
                <w:lang w:eastAsia="zh-CN"/>
              </w:rPr>
              <w:t>古宜镇</w:t>
            </w:r>
            <w:r>
              <w:rPr>
                <w:rFonts w:hint="eastAsia" w:ascii="仿宋_GB2312" w:hAnsi="仿宋_GB2312" w:eastAsia="仿宋_GB2312" w:cs="仿宋_GB2312"/>
                <w:snapToGrid w:val="0"/>
                <w:sz w:val="20"/>
                <w:szCs w:val="20"/>
                <w:highlight w:val="none"/>
                <w:lang w:val="en-US" w:eastAsia="zh-CN"/>
              </w:rPr>
              <w:t>人民政府</w:t>
            </w:r>
          </w:p>
        </w:tc>
        <w:tc>
          <w:tcPr>
            <w:tcW w:w="72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0" w:firstLineChars="0"/>
              <w:rPr>
                <w:rFonts w:hint="eastAsia" w:ascii="仿宋_GB2312" w:hAnsi="仿宋_GB2312" w:eastAsia="仿宋_GB2312" w:cs="仿宋_GB2312"/>
                <w:snapToGrid w:val="0"/>
                <w:color w:val="000000"/>
                <w:sz w:val="20"/>
                <w:szCs w:val="20"/>
                <w:highlight w:val="none"/>
                <w:lang w:val="en-US" w:eastAsia="zh-CN"/>
              </w:rPr>
            </w:pPr>
            <w:r>
              <w:rPr>
                <w:rFonts w:hint="eastAsia" w:ascii="仿宋_GB2312" w:hAnsi="仿宋_GB2312" w:eastAsia="仿宋_GB2312" w:cs="仿宋_GB2312"/>
                <w:snapToGrid w:val="0"/>
                <w:sz w:val="20"/>
                <w:szCs w:val="20"/>
                <w:highlight w:val="none"/>
                <w:lang w:eastAsia="zh-CN"/>
              </w:rPr>
              <w:t>乡村建设综合服务中心</w:t>
            </w:r>
          </w:p>
        </w:tc>
        <w:tc>
          <w:tcPr>
            <w:tcW w:w="293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highlight w:val="none"/>
              </w:rPr>
            </w:pPr>
            <w:r>
              <w:rPr>
                <w:rFonts w:hint="eastAsia" w:ascii="仿宋_GB2312" w:hAnsi="仿宋_GB2312" w:eastAsia="仿宋_GB2312" w:cs="仿宋_GB2312"/>
                <w:snapToGrid w:val="0"/>
                <w:color w:val="000000"/>
                <w:sz w:val="20"/>
                <w:szCs w:val="20"/>
                <w:highlight w:val="none"/>
              </w:rPr>
              <w:t>1.【法律】《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highlight w:val="none"/>
              </w:rPr>
            </w:pPr>
            <w:r>
              <w:rPr>
                <w:rFonts w:hint="eastAsia" w:ascii="仿宋_GB2312" w:hAnsi="仿宋_GB2312" w:eastAsia="仿宋_GB2312" w:cs="仿宋_GB2312"/>
                <w:snapToGrid w:val="0"/>
                <w:color w:val="000000"/>
                <w:sz w:val="20"/>
                <w:szCs w:val="20"/>
                <w:highlight w:val="none"/>
              </w:rPr>
              <w:t>2.【地方性法规】</w:t>
            </w:r>
            <w:r>
              <w:rPr>
                <w:rFonts w:hint="eastAsia" w:ascii="仿宋_GB2312" w:hAnsi="仿宋_GB2312" w:eastAsia="仿宋_GB2312" w:cs="仿宋_GB2312"/>
                <w:snapToGrid w:val="0"/>
                <w:color w:val="000000"/>
                <w:sz w:val="20"/>
                <w:szCs w:val="20"/>
                <w:highlight w:val="none"/>
                <w:lang w:eastAsia="zh-CN"/>
              </w:rPr>
              <w:t>《广西壮族自治区实施〈中华人民共和国城乡规划法〉办法》（2010年3月31日广西壮族自治区第十一届人民代表大会常务委员会第十四次会议通过，2016年11月30日广西壮族自治区第十二届人民代表大会常务委员会第二十六次会议修正）</w:t>
            </w:r>
            <w:r>
              <w:rPr>
                <w:rFonts w:hint="eastAsia" w:ascii="仿宋_GB2312" w:hAnsi="仿宋_GB2312" w:eastAsia="仿宋_GB2312" w:cs="仿宋_GB2312"/>
                <w:snapToGrid w:val="0"/>
                <w:color w:val="000000"/>
                <w:sz w:val="20"/>
                <w:szCs w:val="20"/>
                <w:highlight w:val="none"/>
              </w:rPr>
              <w:t>第三十七</w:t>
            </w:r>
            <w:r>
              <w:rPr>
                <w:rFonts w:hint="eastAsia" w:ascii="仿宋_GB2312" w:hAnsi="仿宋_GB2312" w:eastAsia="仿宋_GB2312" w:cs="仿宋_GB2312"/>
                <w:snapToGrid w:val="0"/>
                <w:color w:val="000000"/>
                <w:sz w:val="20"/>
                <w:szCs w:val="20"/>
                <w:highlight w:val="none"/>
                <w:lang w:eastAsia="zh-CN"/>
              </w:rPr>
              <w:t>条：</w:t>
            </w:r>
            <w:r>
              <w:rPr>
                <w:rFonts w:hint="eastAsia" w:ascii="仿宋_GB2312" w:hAnsi="仿宋_GB2312" w:eastAsia="仿宋_GB2312" w:cs="仿宋_GB2312"/>
                <w:snapToGrid w:val="0"/>
                <w:color w:val="000000"/>
                <w:sz w:val="20"/>
                <w:szCs w:val="20"/>
                <w:highlight w:val="none"/>
              </w:rPr>
              <w:t>在乡、村庄规划区内进行乡镇企业、乡村公共设施和公益事业建设，应当办理乡村建设规划许可证。建设单位或者个人应当持经有关部门审批、核准或者备案文件、标明拟建项目用地范围的规定比例尺地形图、建设工程设计方案（包括图纸和说明，下同）、有关村民委员会意见、建设单位或者个人有效证件等材料，向所在地镇或者乡人民政府提出书面申请。镇或者乡人民政府对提交的材料进行初审，对材料齐全的，提出初审意见；对材料不齐全的，告知其应当补正的有关材料。镇或者乡人民政府将初审意见及该建设项目相关材料一并报上一级人民政府城乡规划主管部门。城乡规划主管部门依据乡、村庄规划对建设项目进行核查，对符合乡、村庄规划要求及国家有关规范、标准的，核发乡村建设规划许可证；对不符合要求的，不予核发，并书面说明理由。</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highlight w:val="none"/>
              </w:rPr>
            </w:pPr>
            <w:r>
              <w:rPr>
                <w:rFonts w:hint="eastAsia" w:ascii="仿宋_GB2312" w:hAnsi="仿宋_GB2312" w:eastAsia="仿宋_GB2312" w:cs="仿宋_GB2312"/>
                <w:snapToGrid w:val="0"/>
                <w:color w:val="000000"/>
                <w:sz w:val="20"/>
                <w:szCs w:val="20"/>
                <w:highlight w:val="none"/>
              </w:rPr>
              <w:t>第三十八</w:t>
            </w:r>
            <w:r>
              <w:rPr>
                <w:rFonts w:hint="eastAsia" w:ascii="仿宋_GB2312" w:hAnsi="仿宋_GB2312" w:eastAsia="仿宋_GB2312" w:cs="仿宋_GB2312"/>
                <w:snapToGrid w:val="0"/>
                <w:color w:val="000000"/>
                <w:sz w:val="20"/>
                <w:szCs w:val="20"/>
                <w:highlight w:val="none"/>
                <w:lang w:eastAsia="zh-CN"/>
              </w:rPr>
              <w:t>条：</w:t>
            </w:r>
            <w:r>
              <w:rPr>
                <w:rFonts w:hint="eastAsia" w:ascii="仿宋_GB2312" w:hAnsi="仿宋_GB2312" w:eastAsia="仿宋_GB2312" w:cs="仿宋_GB2312"/>
                <w:snapToGrid w:val="0"/>
                <w:color w:val="000000"/>
                <w:sz w:val="20"/>
                <w:szCs w:val="20"/>
                <w:highlight w:val="none"/>
              </w:rPr>
              <w:t>村民在乡、村庄规划区范围内进行住宅建设的，应当办理乡村建设规划许可证。</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highlight w:val="none"/>
              </w:rPr>
            </w:pPr>
            <w:r>
              <w:rPr>
                <w:rFonts w:hint="eastAsia" w:ascii="仿宋_GB2312" w:hAnsi="仿宋_GB2312" w:eastAsia="仿宋_GB2312" w:cs="仿宋_GB2312"/>
                <w:snapToGrid w:val="0"/>
                <w:color w:val="000000"/>
                <w:sz w:val="20"/>
                <w:szCs w:val="20"/>
                <w:highlight w:val="none"/>
              </w:rPr>
              <w:t>建房村民须持拟建住房用地的有关证明文件、村民小组和村民委员会意见、四邻关系图、建设工程设计方案或者房屋建筑通用图集、有效身份证件等材料向所在地镇或者乡人民政府提出书面申请。镇或者乡人民政府审核申请人提交的各项文件、资料、图纸等是否完备，并依据经依法批准的乡、村庄规划进行核查，对具备相关文件材料且符合乡、村庄规划及国家有关规范、标准要求，属于使用原有宅基地建造住宅的，由乡、镇人民政府核发乡村建设规划许可证，不属于使用原有宅基地建造住宅的，提出初审意见，报上一级人民政府城乡规划主管部门审定、核发乡村建设规划许可证；对不符合要求的，不予核发，并书面说明理由。</w:t>
            </w:r>
          </w:p>
          <w:p>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_GB2312" w:hAnsi="仿宋_GB2312" w:eastAsia="仿宋_GB2312" w:cs="仿宋_GB2312"/>
                <w:snapToGrid w:val="0"/>
                <w:color w:val="000000"/>
                <w:sz w:val="20"/>
                <w:szCs w:val="20"/>
                <w:highlight w:val="none"/>
              </w:rPr>
            </w:pPr>
            <w:r>
              <w:rPr>
                <w:rFonts w:hint="eastAsia" w:ascii="仿宋_GB2312" w:hAnsi="仿宋_GB2312" w:eastAsia="仿宋_GB2312" w:cs="仿宋_GB2312"/>
                <w:snapToGrid w:val="0"/>
                <w:color w:val="000000"/>
                <w:sz w:val="20"/>
                <w:szCs w:val="20"/>
                <w:highlight w:val="none"/>
              </w:rPr>
              <w:t>第四十一</w:t>
            </w:r>
            <w:r>
              <w:rPr>
                <w:rFonts w:hint="eastAsia" w:ascii="仿宋_GB2312" w:hAnsi="仿宋_GB2312" w:eastAsia="仿宋_GB2312" w:cs="仿宋_GB2312"/>
                <w:snapToGrid w:val="0"/>
                <w:color w:val="000000"/>
                <w:sz w:val="20"/>
                <w:szCs w:val="20"/>
                <w:highlight w:val="none"/>
                <w:lang w:eastAsia="zh-CN"/>
              </w:rPr>
              <w:t>条：</w:t>
            </w:r>
            <w:r>
              <w:rPr>
                <w:rFonts w:hint="eastAsia" w:ascii="仿宋_GB2312" w:hAnsi="仿宋_GB2312" w:eastAsia="仿宋_GB2312" w:cs="仿宋_GB2312"/>
                <w:snapToGrid w:val="0"/>
                <w:color w:val="000000"/>
                <w:sz w:val="20"/>
                <w:szCs w:val="20"/>
                <w:highlight w:val="none"/>
              </w:rPr>
              <w:t>城市、县人民政府城乡规划主管部门可以委托符合下列条件的乡、镇人民政府核发乡村建设规划许可证：（一）乡规划、村庄规划已经依法批准；（二）设有乡镇规划建设管理机构和配备有专职乡镇规划建设管理人员。</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highlight w:val="none"/>
              </w:rPr>
            </w:pPr>
            <w:r>
              <w:rPr>
                <w:rFonts w:hint="eastAsia" w:ascii="仿宋_GB2312" w:hAnsi="仿宋_GB2312" w:eastAsia="仿宋_GB2312" w:cs="仿宋_GB2312"/>
                <w:snapToGrid w:val="0"/>
                <w:color w:val="000000"/>
                <w:sz w:val="20"/>
                <w:szCs w:val="20"/>
                <w:highlight w:val="none"/>
              </w:rPr>
              <w:t>3.【地方性法规】《广西壮族自治区乡村规划建设管理条例》（2018年11月28日广西壮族自治区第十三届人民代表大会常务委员会第六次会议通过）第二十一条：在乡、村庄规划区内进行乡镇企业、乡村公共设施、公益事业建设以及村民住宅建设，应当取得乡村建设规划许可证，建设单位或者个人应当按照规划许可证的内容进行建设。乡村建设规划许可证的内容应当包括对地块位置、用地范围、用地性质、建筑面积、建筑高度、建筑风格、外观形象、色彩等的要求。</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highlight w:val="none"/>
              </w:rPr>
            </w:pPr>
            <w:r>
              <w:rPr>
                <w:rFonts w:hint="eastAsia" w:ascii="仿宋_GB2312" w:hAnsi="仿宋_GB2312" w:eastAsia="仿宋_GB2312" w:cs="仿宋_GB2312"/>
                <w:snapToGrid w:val="0"/>
                <w:color w:val="000000"/>
                <w:sz w:val="20"/>
                <w:szCs w:val="20"/>
                <w:highlight w:val="none"/>
              </w:rPr>
              <w:t>第二十五条</w:t>
            </w:r>
            <w:r>
              <w:rPr>
                <w:rFonts w:hint="eastAsia" w:ascii="仿宋_GB2312" w:hAnsi="仿宋_GB2312" w:eastAsia="仿宋_GB2312" w:cs="仿宋_GB2312"/>
                <w:snapToGrid w:val="0"/>
                <w:color w:val="000000"/>
                <w:sz w:val="20"/>
                <w:szCs w:val="20"/>
                <w:highlight w:val="none"/>
                <w:lang w:eastAsia="zh-CN"/>
              </w:rPr>
              <w:t>：</w:t>
            </w:r>
            <w:r>
              <w:rPr>
                <w:rFonts w:hint="eastAsia" w:ascii="仿宋_GB2312" w:hAnsi="仿宋_GB2312" w:eastAsia="仿宋_GB2312" w:cs="仿宋_GB2312"/>
                <w:snapToGrid w:val="0"/>
                <w:color w:val="000000"/>
                <w:sz w:val="20"/>
                <w:szCs w:val="20"/>
                <w:highlight w:val="none"/>
              </w:rPr>
              <w:t>在乡、村庄规划区内进行乡镇企业、乡村公共设施、公益事业建设，以及村民不使用原有宅基地或者扩大原有宅基地面积建设住宅的，乡（镇）人民政府自受理申请之日起十个工作日内将审核意见以及该建设工程相关材料报上一级人民政府城乡规划主管部门；城乡规划主管部门自受理申请之日起二十个工作日内作出决定，对符合本条例第二十二条规定条件的，核发乡村建设规划许可证；对不符合本条例第二十二条规定条件的，不予核发，并书面说明理由。</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highlight w:val="none"/>
              </w:rPr>
            </w:pPr>
            <w:r>
              <w:rPr>
                <w:rFonts w:hint="eastAsia" w:ascii="仿宋_GB2312" w:hAnsi="仿宋_GB2312" w:eastAsia="仿宋_GB2312" w:cs="仿宋_GB2312"/>
                <w:snapToGrid w:val="0"/>
                <w:color w:val="000000"/>
                <w:sz w:val="20"/>
                <w:szCs w:val="20"/>
                <w:highlight w:val="none"/>
              </w:rPr>
              <w:t>县级人民政府城乡规划主管部门可以委托乡（镇）人民政府核发乡村建设规划许可证。</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highlight w:val="none"/>
              </w:rPr>
            </w:pPr>
            <w:r>
              <w:rPr>
                <w:rFonts w:hint="eastAsia" w:ascii="仿宋_GB2312" w:hAnsi="仿宋_GB2312" w:eastAsia="仿宋_GB2312" w:cs="仿宋_GB2312"/>
                <w:snapToGrid w:val="0"/>
                <w:color w:val="000000"/>
                <w:sz w:val="20"/>
                <w:szCs w:val="20"/>
                <w:highlight w:val="none"/>
              </w:rPr>
              <w:t>在乡、村庄规划区内进行本条第一款规定的建设，应当在取得乡村建设规划许可证后，依法办理用地审批手续。</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highlight w:val="none"/>
              </w:rPr>
            </w:pPr>
            <w:r>
              <w:rPr>
                <w:rFonts w:hint="eastAsia" w:ascii="仿宋_GB2312" w:hAnsi="仿宋_GB2312" w:eastAsia="仿宋_GB2312" w:cs="仿宋_GB2312"/>
                <w:snapToGrid w:val="0"/>
                <w:color w:val="000000"/>
                <w:sz w:val="20"/>
                <w:szCs w:val="20"/>
                <w:highlight w:val="none"/>
              </w:rPr>
              <w:t>第二十六条</w:t>
            </w:r>
            <w:r>
              <w:rPr>
                <w:rFonts w:hint="eastAsia" w:ascii="仿宋_GB2312" w:hAnsi="仿宋_GB2312" w:eastAsia="仿宋_GB2312" w:cs="仿宋_GB2312"/>
                <w:snapToGrid w:val="0"/>
                <w:color w:val="000000"/>
                <w:sz w:val="20"/>
                <w:szCs w:val="20"/>
                <w:highlight w:val="none"/>
                <w:lang w:eastAsia="zh-CN"/>
              </w:rPr>
              <w:t>：</w:t>
            </w:r>
            <w:r>
              <w:rPr>
                <w:rFonts w:hint="eastAsia" w:ascii="仿宋_GB2312" w:hAnsi="仿宋_GB2312" w:eastAsia="仿宋_GB2312" w:cs="仿宋_GB2312"/>
                <w:snapToGrid w:val="0"/>
                <w:color w:val="000000"/>
                <w:sz w:val="20"/>
                <w:szCs w:val="20"/>
                <w:highlight w:val="none"/>
              </w:rPr>
              <w:t>在乡、村庄规划区内使用原有宅基地建设住宅的，乡（镇）人民政府自受理申请之日起二十个工作日内作出决定，对符合本条例第二十二条第一款规定条件的，核发乡村建设规划许可证；对不符合本条例第二十二条第一款规定条件的，不予核发，并书面说明理由。</w:t>
            </w:r>
          </w:p>
          <w:p>
            <w:pPr>
              <w:keepNext w:val="0"/>
              <w:keepLines w:val="0"/>
              <w:pageBreakBefore w:val="0"/>
              <w:widowControl/>
              <w:kinsoku/>
              <w:wordWrap/>
              <w:overflowPunct/>
              <w:topLinePunct w:val="0"/>
              <w:autoSpaceDE/>
              <w:autoSpaceDN/>
              <w:bidi w:val="0"/>
              <w:adjustRightInd w:val="0"/>
              <w:snapToGrid w:val="0"/>
              <w:spacing w:line="280" w:lineRule="exact"/>
              <w:ind w:firstLine="400" w:firstLineChars="200"/>
              <w:textAlignment w:val="auto"/>
              <w:rPr>
                <w:rFonts w:hint="eastAsia" w:ascii="仿宋_GB2312" w:hAnsi="仿宋_GB2312" w:eastAsia="仿宋_GB2312" w:cs="仿宋_GB2312"/>
                <w:snapToGrid w:val="0"/>
                <w:color w:val="000000"/>
                <w:sz w:val="20"/>
                <w:szCs w:val="20"/>
                <w:highlight w:val="none"/>
                <w:lang w:val="en-US" w:eastAsia="zh-CN"/>
              </w:rPr>
            </w:pP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highlight w:val="none"/>
              </w:rPr>
            </w:pPr>
            <w:r>
              <w:rPr>
                <w:rFonts w:hint="eastAsia" w:ascii="仿宋_GB2312" w:hAnsi="仿宋_GB2312" w:eastAsia="仿宋_GB2312" w:cs="仿宋_GB2312"/>
                <w:snapToGrid w:val="0"/>
                <w:color w:val="000000"/>
                <w:sz w:val="20"/>
                <w:szCs w:val="20"/>
                <w:highlight w:val="none"/>
              </w:rPr>
              <w:t>1.受理责任：公示应当提交的材料；一次性告知补正材料；依法受理或不予受理（不予受理应当告知理由）。</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highlight w:val="none"/>
              </w:rPr>
            </w:pPr>
            <w:r>
              <w:rPr>
                <w:rFonts w:hint="eastAsia" w:ascii="仿宋_GB2312" w:hAnsi="仿宋_GB2312" w:eastAsia="仿宋_GB2312" w:cs="仿宋_GB2312"/>
                <w:snapToGrid w:val="0"/>
                <w:color w:val="000000"/>
                <w:sz w:val="20"/>
                <w:szCs w:val="20"/>
                <w:highlight w:val="none"/>
              </w:rPr>
              <w:t>2.审查责任：按照政策规定对书面材料进行审查，提出是否同意审批的初步意见，告知申请人、利害相关人享有听证权利；涉及公共利益的重大许可，向社会公告，并举行听证。</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highlight w:val="none"/>
              </w:rPr>
            </w:pPr>
            <w:r>
              <w:rPr>
                <w:rFonts w:hint="eastAsia" w:ascii="仿宋_GB2312" w:hAnsi="仿宋_GB2312" w:eastAsia="仿宋_GB2312" w:cs="仿宋_GB2312"/>
                <w:snapToGrid w:val="0"/>
                <w:color w:val="000000"/>
                <w:sz w:val="20"/>
                <w:szCs w:val="20"/>
                <w:highlight w:val="none"/>
              </w:rPr>
              <w:t>3.决定责任：作出行政许可或者不予行政许可决定,法定告知（不予许可的应当书面告知理由）。</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highlight w:val="none"/>
              </w:rPr>
            </w:pPr>
            <w:r>
              <w:rPr>
                <w:rFonts w:hint="eastAsia" w:ascii="仿宋_GB2312" w:hAnsi="仿宋_GB2312" w:eastAsia="仿宋_GB2312" w:cs="仿宋_GB2312"/>
                <w:snapToGrid w:val="0"/>
                <w:color w:val="000000"/>
                <w:sz w:val="20"/>
                <w:szCs w:val="20"/>
                <w:highlight w:val="none"/>
              </w:rPr>
              <w:t>4．送达责任：准予许可的制发送达审批决定。</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highlight w:val="none"/>
              </w:rPr>
            </w:pPr>
            <w:r>
              <w:rPr>
                <w:rFonts w:hint="eastAsia" w:ascii="仿宋_GB2312" w:hAnsi="仿宋_GB2312" w:eastAsia="仿宋_GB2312" w:cs="仿宋_GB2312"/>
                <w:snapToGrid w:val="0"/>
                <w:color w:val="000000"/>
                <w:sz w:val="20"/>
                <w:szCs w:val="20"/>
                <w:highlight w:val="none"/>
              </w:rPr>
              <w:t>5．事后监管环节责任：分管领导对审批后的相关事宜实施监督管理</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sz w:val="20"/>
                <w:szCs w:val="20"/>
                <w:highlight w:val="none"/>
              </w:rPr>
              <w:t>6．其他法律法规规章文件规定应履行的责任。</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highlight w:val="none"/>
                <w:lang w:eastAsia="zh-CN"/>
              </w:rPr>
            </w:pPr>
            <w:r>
              <w:rPr>
                <w:rFonts w:hint="eastAsia" w:ascii="仿宋_GB2312" w:hAnsi="仿宋_GB2312" w:eastAsia="仿宋_GB2312" w:cs="仿宋_GB2312"/>
                <w:snapToGrid w:val="0"/>
                <w:color w:val="000000"/>
                <w:sz w:val="20"/>
                <w:szCs w:val="20"/>
                <w:highlight w:val="none"/>
              </w:rPr>
              <w:t>1.【法律】《中华人民共和国行政许可法》第三十</w:t>
            </w:r>
            <w:r>
              <w:rPr>
                <w:rFonts w:hint="eastAsia" w:ascii="仿宋_GB2312" w:hAnsi="仿宋_GB2312" w:eastAsia="仿宋_GB2312" w:cs="仿宋_GB2312"/>
                <w:snapToGrid w:val="0"/>
                <w:color w:val="000000"/>
                <w:sz w:val="20"/>
                <w:szCs w:val="20"/>
                <w:highlight w:val="none"/>
                <w:lang w:eastAsia="zh-CN"/>
              </w:rPr>
              <w:t>条：</w:t>
            </w:r>
            <w:r>
              <w:rPr>
                <w:rFonts w:hint="eastAsia" w:ascii="仿宋_GB2312" w:hAnsi="仿宋_GB2312" w:eastAsia="仿宋_GB2312" w:cs="仿宋_GB2312"/>
                <w:snapToGrid w:val="0"/>
                <w:color w:val="000000"/>
                <w:sz w:val="20"/>
                <w:szCs w:val="20"/>
                <w:highlight w:val="none"/>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w:t>
            </w:r>
            <w:r>
              <w:rPr>
                <w:rFonts w:hint="eastAsia" w:ascii="仿宋_GB2312" w:hAnsi="仿宋_GB2312" w:eastAsia="仿宋_GB2312" w:cs="仿宋_GB2312"/>
                <w:snapToGrid w:val="0"/>
                <w:color w:val="000000"/>
                <w:sz w:val="20"/>
                <w:szCs w:val="20"/>
                <w:highlight w:val="none"/>
                <w:lang w:eastAsia="zh-CN"/>
              </w:rPr>
              <w:t>可靠的信息。</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highlight w:val="none"/>
                <w:lang w:eastAsia="zh-CN"/>
              </w:rPr>
            </w:pPr>
            <w:r>
              <w:rPr>
                <w:rFonts w:hint="eastAsia" w:ascii="仿宋_GB2312" w:hAnsi="仿宋_GB2312" w:eastAsia="仿宋_GB2312" w:cs="仿宋_GB2312"/>
                <w:snapToGrid w:val="0"/>
                <w:color w:val="000000"/>
                <w:sz w:val="20"/>
                <w:szCs w:val="20"/>
                <w:highlight w:val="none"/>
              </w:rPr>
              <w:t>2</w:t>
            </w:r>
            <w:r>
              <w:rPr>
                <w:rFonts w:hint="eastAsia" w:ascii="仿宋_GB2312" w:hAnsi="仿宋_GB2312" w:eastAsia="仿宋_GB2312" w:cs="仿宋_GB2312"/>
                <w:snapToGrid w:val="0"/>
                <w:color w:val="000000"/>
                <w:sz w:val="20"/>
                <w:szCs w:val="20"/>
                <w:highlight w:val="none"/>
                <w:lang w:eastAsia="zh-CN"/>
              </w:rPr>
              <w:t>—1.</w:t>
            </w:r>
            <w:r>
              <w:rPr>
                <w:rFonts w:hint="eastAsia" w:ascii="仿宋_GB2312" w:hAnsi="仿宋_GB2312" w:eastAsia="仿宋_GB2312" w:cs="仿宋_GB2312"/>
                <w:snapToGrid w:val="0"/>
                <w:color w:val="000000"/>
                <w:sz w:val="20"/>
                <w:szCs w:val="20"/>
                <w:highlight w:val="none"/>
              </w:rPr>
              <w:t>【法律】《中华人民共和国行政许可法》第三十二</w:t>
            </w:r>
            <w:r>
              <w:rPr>
                <w:rFonts w:hint="eastAsia" w:ascii="仿宋_GB2312" w:hAnsi="仿宋_GB2312" w:eastAsia="仿宋_GB2312" w:cs="仿宋_GB2312"/>
                <w:snapToGrid w:val="0"/>
                <w:color w:val="000000"/>
                <w:sz w:val="20"/>
                <w:szCs w:val="20"/>
                <w:highlight w:val="none"/>
                <w:lang w:eastAsia="zh-CN"/>
              </w:rPr>
              <w:t>条：</w:t>
            </w:r>
            <w:r>
              <w:rPr>
                <w:rFonts w:hint="eastAsia" w:ascii="仿宋_GB2312" w:hAnsi="仿宋_GB2312" w:eastAsia="仿宋_GB2312" w:cs="仿宋_GB2312"/>
                <w:snapToGrid w:val="0"/>
                <w:color w:val="000000"/>
                <w:sz w:val="20"/>
                <w:szCs w:val="20"/>
                <w:highlight w:val="none"/>
              </w:rPr>
              <w:t>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w:t>
            </w:r>
            <w:r>
              <w:rPr>
                <w:rFonts w:hint="eastAsia" w:ascii="仿宋_GB2312" w:hAnsi="仿宋_GB2312" w:eastAsia="仿宋_GB2312" w:cs="仿宋_GB2312"/>
                <w:snapToGrid w:val="0"/>
                <w:color w:val="000000"/>
                <w:sz w:val="20"/>
                <w:szCs w:val="20"/>
                <w:highlight w:val="none"/>
                <w:lang w:eastAsia="zh-CN"/>
              </w:rPr>
              <w:t>理行政许可申请。</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highlight w:val="none"/>
                <w:lang w:eastAsia="zh-CN"/>
              </w:rPr>
            </w:pPr>
            <w:r>
              <w:rPr>
                <w:rFonts w:hint="eastAsia" w:ascii="仿宋_GB2312" w:hAnsi="仿宋_GB2312" w:eastAsia="仿宋_GB2312" w:cs="仿宋_GB2312"/>
                <w:snapToGrid w:val="0"/>
                <w:color w:val="000000"/>
                <w:sz w:val="20"/>
                <w:szCs w:val="20"/>
                <w:highlight w:val="none"/>
              </w:rPr>
              <w:t>2</w:t>
            </w:r>
            <w:r>
              <w:rPr>
                <w:rFonts w:hint="eastAsia" w:ascii="仿宋_GB2312" w:hAnsi="仿宋_GB2312" w:eastAsia="仿宋_GB2312" w:cs="仿宋_GB2312"/>
                <w:snapToGrid w:val="0"/>
                <w:color w:val="000000"/>
                <w:sz w:val="20"/>
                <w:szCs w:val="20"/>
                <w:highlight w:val="none"/>
                <w:lang w:eastAsia="zh-CN"/>
              </w:rPr>
              <w:t>—2.</w:t>
            </w:r>
            <w:r>
              <w:rPr>
                <w:rFonts w:hint="eastAsia" w:ascii="仿宋_GB2312" w:hAnsi="仿宋_GB2312" w:eastAsia="仿宋_GB2312" w:cs="仿宋_GB2312"/>
                <w:snapToGrid w:val="0"/>
                <w:color w:val="000000"/>
                <w:sz w:val="20"/>
                <w:szCs w:val="20"/>
                <w:highlight w:val="none"/>
              </w:rPr>
              <w:t>【法律】《中华人民共和国行政许可法》第三十四</w:t>
            </w:r>
            <w:r>
              <w:rPr>
                <w:rFonts w:hint="eastAsia" w:ascii="仿宋_GB2312" w:hAnsi="仿宋_GB2312" w:eastAsia="仿宋_GB2312" w:cs="仿宋_GB2312"/>
                <w:snapToGrid w:val="0"/>
                <w:color w:val="000000"/>
                <w:sz w:val="20"/>
                <w:szCs w:val="20"/>
                <w:highlight w:val="none"/>
                <w:lang w:eastAsia="zh-CN"/>
              </w:rPr>
              <w:t>条：</w:t>
            </w:r>
            <w:r>
              <w:rPr>
                <w:rFonts w:hint="eastAsia" w:ascii="仿宋_GB2312" w:hAnsi="仿宋_GB2312" w:eastAsia="仿宋_GB2312" w:cs="仿宋_GB2312"/>
                <w:snapToGrid w:val="0"/>
                <w:color w:val="000000"/>
                <w:sz w:val="20"/>
                <w:szCs w:val="20"/>
                <w:highlight w:val="none"/>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w:t>
            </w:r>
            <w:r>
              <w:rPr>
                <w:rFonts w:hint="eastAsia" w:ascii="仿宋_GB2312" w:hAnsi="仿宋_GB2312" w:eastAsia="仿宋_GB2312" w:cs="仿宋_GB2312"/>
                <w:snapToGrid w:val="0"/>
                <w:color w:val="000000"/>
                <w:sz w:val="20"/>
                <w:szCs w:val="20"/>
                <w:highlight w:val="none"/>
                <w:lang w:eastAsia="zh-CN"/>
              </w:rPr>
              <w:t>派两名以上工作人员进行核查。</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highlight w:val="none"/>
              </w:rPr>
            </w:pPr>
            <w:r>
              <w:rPr>
                <w:rFonts w:hint="eastAsia" w:ascii="仿宋_GB2312" w:hAnsi="仿宋_GB2312" w:eastAsia="仿宋_GB2312" w:cs="仿宋_GB2312"/>
                <w:snapToGrid w:val="0"/>
                <w:color w:val="000000"/>
                <w:sz w:val="20"/>
                <w:szCs w:val="20"/>
                <w:highlight w:val="none"/>
              </w:rPr>
              <w:t>2</w:t>
            </w:r>
            <w:r>
              <w:rPr>
                <w:rFonts w:hint="eastAsia" w:ascii="仿宋_GB2312" w:hAnsi="仿宋_GB2312" w:eastAsia="仿宋_GB2312" w:cs="仿宋_GB2312"/>
                <w:snapToGrid w:val="0"/>
                <w:color w:val="000000"/>
                <w:sz w:val="20"/>
                <w:szCs w:val="20"/>
                <w:highlight w:val="none"/>
                <w:lang w:eastAsia="zh-CN"/>
              </w:rPr>
              <w:t>—3.</w:t>
            </w:r>
            <w:r>
              <w:rPr>
                <w:rFonts w:hint="eastAsia" w:ascii="仿宋_GB2312" w:hAnsi="仿宋_GB2312" w:eastAsia="仿宋_GB2312" w:cs="仿宋_GB2312"/>
                <w:snapToGrid w:val="0"/>
                <w:color w:val="000000"/>
                <w:sz w:val="20"/>
                <w:szCs w:val="20"/>
                <w:highlight w:val="none"/>
              </w:rPr>
              <w:t>【法律】《中华人民共和国行政许可法》</w:t>
            </w:r>
            <w:r>
              <w:rPr>
                <w:rFonts w:hint="eastAsia" w:ascii="仿宋_GB2312" w:hAnsi="仿宋_GB2312" w:eastAsia="仿宋_GB2312" w:cs="仿宋_GB2312"/>
                <w:snapToGrid w:val="0"/>
                <w:color w:val="000000"/>
                <w:sz w:val="20"/>
                <w:szCs w:val="20"/>
                <w:highlight w:val="none"/>
                <w:lang w:eastAsia="zh-CN"/>
              </w:rPr>
              <w:t>第四十六条：法律、法规、</w:t>
            </w:r>
            <w:r>
              <w:rPr>
                <w:rFonts w:hint="eastAsia" w:ascii="仿宋_GB2312" w:hAnsi="仿宋_GB2312" w:eastAsia="仿宋_GB2312" w:cs="仿宋_GB2312"/>
                <w:snapToGrid w:val="0"/>
                <w:color w:val="000000"/>
                <w:sz w:val="20"/>
                <w:szCs w:val="20"/>
                <w:highlight w:val="none"/>
              </w:rPr>
              <w:t>规章规定实施行政许可应当听证的事项，或者行政机关认为需要听证的其他涉及公共利益的重大行政许可事项，行政机关应当向社会公告，并举行听证。</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highlight w:val="none"/>
                <w:lang w:eastAsia="zh-CN"/>
              </w:rPr>
            </w:pPr>
            <w:r>
              <w:rPr>
                <w:rFonts w:hint="eastAsia" w:ascii="仿宋_GB2312" w:hAnsi="仿宋_GB2312" w:eastAsia="仿宋_GB2312" w:cs="仿宋_GB2312"/>
                <w:snapToGrid w:val="0"/>
                <w:color w:val="000000"/>
                <w:sz w:val="20"/>
                <w:szCs w:val="20"/>
                <w:highlight w:val="none"/>
              </w:rPr>
              <w:t>3</w:t>
            </w:r>
            <w:r>
              <w:rPr>
                <w:rFonts w:hint="eastAsia" w:ascii="仿宋_GB2312" w:hAnsi="仿宋_GB2312" w:eastAsia="仿宋_GB2312" w:cs="仿宋_GB2312"/>
                <w:snapToGrid w:val="0"/>
                <w:color w:val="000000"/>
                <w:sz w:val="20"/>
                <w:szCs w:val="20"/>
                <w:highlight w:val="none"/>
                <w:lang w:eastAsia="zh-CN"/>
              </w:rPr>
              <w:t>—1.</w:t>
            </w:r>
            <w:r>
              <w:rPr>
                <w:rFonts w:hint="eastAsia" w:ascii="仿宋_GB2312" w:hAnsi="仿宋_GB2312" w:eastAsia="仿宋_GB2312" w:cs="仿宋_GB2312"/>
                <w:snapToGrid w:val="0"/>
                <w:color w:val="000000"/>
                <w:sz w:val="20"/>
                <w:szCs w:val="20"/>
                <w:highlight w:val="none"/>
              </w:rPr>
              <w:t>【法律】《中华人民共和国行政许可法》第三十七</w:t>
            </w:r>
            <w:r>
              <w:rPr>
                <w:rFonts w:hint="eastAsia" w:ascii="仿宋_GB2312" w:hAnsi="仿宋_GB2312" w:eastAsia="仿宋_GB2312" w:cs="仿宋_GB2312"/>
                <w:snapToGrid w:val="0"/>
                <w:color w:val="000000"/>
                <w:sz w:val="20"/>
                <w:szCs w:val="20"/>
                <w:highlight w:val="none"/>
                <w:lang w:eastAsia="zh-CN"/>
              </w:rPr>
              <w:t>条：</w:t>
            </w:r>
            <w:r>
              <w:rPr>
                <w:rFonts w:hint="eastAsia" w:ascii="仿宋_GB2312" w:hAnsi="仿宋_GB2312" w:eastAsia="仿宋_GB2312" w:cs="仿宋_GB2312"/>
                <w:snapToGrid w:val="0"/>
                <w:color w:val="000000"/>
                <w:sz w:val="20"/>
                <w:szCs w:val="20"/>
                <w:highlight w:val="none"/>
              </w:rPr>
              <w:t>行政机关对行政许可申请进行审.查后，除了当场作出行政许可决定的，应在法定期限内</w:t>
            </w:r>
            <w:r>
              <w:rPr>
                <w:rFonts w:hint="eastAsia" w:ascii="仿宋_GB2312" w:hAnsi="仿宋_GB2312" w:eastAsia="仿宋_GB2312" w:cs="仿宋_GB2312"/>
                <w:snapToGrid w:val="0"/>
                <w:color w:val="000000"/>
                <w:sz w:val="20"/>
                <w:szCs w:val="20"/>
                <w:highlight w:val="none"/>
                <w:lang w:eastAsia="zh-CN"/>
              </w:rPr>
              <w:t>按照规定程序作出行政许可决定。</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highlight w:val="none"/>
              </w:rPr>
            </w:pPr>
            <w:r>
              <w:rPr>
                <w:rFonts w:hint="eastAsia" w:ascii="仿宋_GB2312" w:hAnsi="仿宋_GB2312" w:eastAsia="仿宋_GB2312" w:cs="仿宋_GB2312"/>
                <w:snapToGrid w:val="0"/>
                <w:color w:val="000000"/>
                <w:sz w:val="20"/>
                <w:szCs w:val="20"/>
                <w:highlight w:val="none"/>
              </w:rPr>
              <w:t>3</w:t>
            </w:r>
            <w:r>
              <w:rPr>
                <w:rFonts w:hint="eastAsia" w:ascii="仿宋_GB2312" w:hAnsi="仿宋_GB2312" w:eastAsia="仿宋_GB2312" w:cs="仿宋_GB2312"/>
                <w:snapToGrid w:val="0"/>
                <w:color w:val="000000"/>
                <w:sz w:val="20"/>
                <w:szCs w:val="20"/>
                <w:highlight w:val="none"/>
                <w:lang w:eastAsia="zh-CN"/>
              </w:rPr>
              <w:t>—2.</w:t>
            </w:r>
            <w:r>
              <w:rPr>
                <w:rFonts w:hint="eastAsia" w:ascii="仿宋_GB2312" w:hAnsi="仿宋_GB2312" w:eastAsia="仿宋_GB2312" w:cs="仿宋_GB2312"/>
                <w:snapToGrid w:val="0"/>
                <w:color w:val="000000"/>
                <w:sz w:val="20"/>
                <w:szCs w:val="20"/>
                <w:highlight w:val="none"/>
              </w:rPr>
              <w:t>【法律】《中华人民共和国行政许可法》第三十八</w:t>
            </w:r>
            <w:r>
              <w:rPr>
                <w:rFonts w:hint="eastAsia" w:ascii="仿宋_GB2312" w:hAnsi="仿宋_GB2312" w:eastAsia="仿宋_GB2312" w:cs="仿宋_GB2312"/>
                <w:snapToGrid w:val="0"/>
                <w:color w:val="000000"/>
                <w:sz w:val="20"/>
                <w:szCs w:val="20"/>
                <w:highlight w:val="none"/>
                <w:lang w:eastAsia="zh-CN"/>
              </w:rPr>
              <w:t>条：</w:t>
            </w:r>
            <w:r>
              <w:rPr>
                <w:rFonts w:hint="eastAsia" w:ascii="仿宋_GB2312" w:hAnsi="仿宋_GB2312" w:eastAsia="仿宋_GB2312" w:cs="仿宋_GB2312"/>
                <w:snapToGrid w:val="0"/>
                <w:color w:val="000000"/>
                <w:sz w:val="20"/>
                <w:szCs w:val="20"/>
                <w:highlight w:val="none"/>
              </w:rPr>
              <w:t>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highlight w:val="none"/>
                <w:lang w:eastAsia="zh-CN"/>
              </w:rPr>
            </w:pPr>
            <w:r>
              <w:rPr>
                <w:rFonts w:hint="eastAsia" w:ascii="仿宋_GB2312" w:hAnsi="仿宋_GB2312" w:eastAsia="仿宋_GB2312" w:cs="仿宋_GB2312"/>
                <w:snapToGrid w:val="0"/>
                <w:color w:val="000000"/>
                <w:sz w:val="20"/>
                <w:szCs w:val="20"/>
                <w:highlight w:val="none"/>
              </w:rPr>
              <w:t>4</w:t>
            </w:r>
            <w:r>
              <w:rPr>
                <w:rFonts w:hint="eastAsia" w:ascii="仿宋_GB2312" w:hAnsi="仿宋_GB2312" w:eastAsia="仿宋_GB2312" w:cs="仿宋_GB2312"/>
                <w:snapToGrid w:val="0"/>
                <w:color w:val="000000"/>
                <w:sz w:val="20"/>
                <w:szCs w:val="20"/>
                <w:highlight w:val="none"/>
                <w:lang w:eastAsia="zh-CN"/>
              </w:rPr>
              <w:t>—1.</w:t>
            </w:r>
            <w:r>
              <w:rPr>
                <w:rFonts w:hint="eastAsia" w:ascii="仿宋_GB2312" w:hAnsi="仿宋_GB2312" w:eastAsia="仿宋_GB2312" w:cs="仿宋_GB2312"/>
                <w:snapToGrid w:val="0"/>
                <w:color w:val="000000"/>
                <w:sz w:val="20"/>
                <w:szCs w:val="20"/>
                <w:highlight w:val="none"/>
              </w:rPr>
              <w:t>【法律】《中华人民共和国行政许可法》第四十</w:t>
            </w:r>
            <w:r>
              <w:rPr>
                <w:rFonts w:hint="eastAsia" w:ascii="仿宋_GB2312" w:hAnsi="仿宋_GB2312" w:eastAsia="仿宋_GB2312" w:cs="仿宋_GB2312"/>
                <w:snapToGrid w:val="0"/>
                <w:color w:val="000000"/>
                <w:sz w:val="20"/>
                <w:szCs w:val="20"/>
                <w:highlight w:val="none"/>
                <w:lang w:eastAsia="zh-CN"/>
              </w:rPr>
              <w:t>条：</w:t>
            </w:r>
            <w:r>
              <w:rPr>
                <w:rFonts w:hint="eastAsia" w:ascii="仿宋_GB2312" w:hAnsi="仿宋_GB2312" w:eastAsia="仿宋_GB2312" w:cs="仿宋_GB2312"/>
                <w:snapToGrid w:val="0"/>
                <w:color w:val="000000"/>
                <w:sz w:val="20"/>
                <w:szCs w:val="20"/>
                <w:highlight w:val="none"/>
              </w:rPr>
              <w:t>行政机关作出的准予行政许可决定，应当予以公开，</w:t>
            </w:r>
            <w:r>
              <w:rPr>
                <w:rFonts w:hint="eastAsia" w:ascii="仿宋_GB2312" w:hAnsi="仿宋_GB2312" w:eastAsia="仿宋_GB2312" w:cs="仿宋_GB2312"/>
                <w:snapToGrid w:val="0"/>
                <w:color w:val="000000"/>
                <w:sz w:val="20"/>
                <w:szCs w:val="20"/>
                <w:highlight w:val="none"/>
                <w:lang w:eastAsia="zh-CN"/>
              </w:rPr>
              <w:t>公众有权查阅。</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sz w:val="20"/>
                <w:szCs w:val="20"/>
                <w:highlight w:val="none"/>
                <w:lang w:eastAsia="zh-CN"/>
              </w:rPr>
            </w:pPr>
            <w:r>
              <w:rPr>
                <w:rFonts w:hint="eastAsia" w:ascii="仿宋_GB2312" w:hAnsi="仿宋_GB2312" w:eastAsia="仿宋_GB2312" w:cs="仿宋_GB2312"/>
                <w:snapToGrid w:val="0"/>
                <w:color w:val="000000"/>
                <w:sz w:val="20"/>
                <w:szCs w:val="20"/>
                <w:highlight w:val="none"/>
              </w:rPr>
              <w:t>4-2【法律】《中华人民共和国行政许可法》第四十四</w:t>
            </w:r>
            <w:r>
              <w:rPr>
                <w:rFonts w:hint="eastAsia" w:ascii="仿宋_GB2312" w:hAnsi="仿宋_GB2312" w:eastAsia="仿宋_GB2312" w:cs="仿宋_GB2312"/>
                <w:snapToGrid w:val="0"/>
                <w:color w:val="000000"/>
                <w:sz w:val="20"/>
                <w:szCs w:val="20"/>
                <w:highlight w:val="none"/>
                <w:lang w:eastAsia="zh-CN"/>
              </w:rPr>
              <w:t>条：</w:t>
            </w:r>
            <w:r>
              <w:rPr>
                <w:rFonts w:hint="eastAsia" w:ascii="仿宋_GB2312" w:hAnsi="仿宋_GB2312" w:eastAsia="仿宋_GB2312" w:cs="仿宋_GB2312"/>
                <w:snapToGrid w:val="0"/>
                <w:color w:val="000000"/>
                <w:sz w:val="20"/>
                <w:szCs w:val="20"/>
                <w:highlight w:val="none"/>
              </w:rPr>
              <w:t>行政机关作出准予行政许可的决定，应当自作出决定之日起十日内向申请人颁发、送达行政许可证件、或者加贴标签、加盖检验、检测、</w:t>
            </w:r>
            <w:r>
              <w:rPr>
                <w:rFonts w:hint="eastAsia" w:ascii="仿宋_GB2312" w:hAnsi="仿宋_GB2312" w:eastAsia="仿宋_GB2312" w:cs="仿宋_GB2312"/>
                <w:snapToGrid w:val="0"/>
                <w:color w:val="000000"/>
                <w:sz w:val="20"/>
                <w:szCs w:val="20"/>
                <w:highlight w:val="none"/>
                <w:lang w:eastAsia="zh-CN"/>
              </w:rPr>
              <w:t>检疫印章。</w:t>
            </w:r>
          </w:p>
          <w:p>
            <w:pPr>
              <w:widowControl/>
              <w:adjustRightInd w:val="0"/>
              <w:snapToGrid w:val="0"/>
              <w:spacing w:line="299" w:lineRule="exact"/>
              <w:ind w:firstLine="400" w:firstLineChars="200"/>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sz w:val="20"/>
                <w:szCs w:val="20"/>
                <w:highlight w:val="none"/>
              </w:rPr>
              <w:t>5．【法律】《中华人民共和国行政许可法》</w:t>
            </w:r>
            <w:r>
              <w:rPr>
                <w:rFonts w:hint="eastAsia" w:ascii="仿宋_GB2312" w:hAnsi="仿宋_GB2312" w:eastAsia="仿宋_GB2312" w:cs="仿宋_GB2312"/>
                <w:snapToGrid w:val="0"/>
                <w:color w:val="000000"/>
                <w:sz w:val="20"/>
                <w:szCs w:val="20"/>
                <w:highlight w:val="none"/>
                <w:lang w:eastAsia="zh-CN"/>
              </w:rPr>
              <w:t>第六十一条：</w:t>
            </w:r>
            <w:r>
              <w:rPr>
                <w:rFonts w:hint="eastAsia" w:ascii="仿宋_GB2312" w:hAnsi="仿宋_GB2312" w:eastAsia="仿宋_GB2312" w:cs="仿宋_GB2312"/>
                <w:snapToGrid w:val="0"/>
                <w:color w:val="000000"/>
                <w:sz w:val="20"/>
                <w:szCs w:val="20"/>
                <w:highlight w:val="none"/>
              </w:rPr>
              <w:t>行政机关应当建立健全监督制度，通过核查反映被许可人从事行政许可事项活动情况的有关材料，</w:t>
            </w:r>
            <w:r>
              <w:rPr>
                <w:rFonts w:hint="eastAsia" w:ascii="仿宋_GB2312" w:hAnsi="仿宋_GB2312" w:eastAsia="仿宋_GB2312" w:cs="仿宋_GB2312"/>
                <w:snapToGrid w:val="0"/>
                <w:color w:val="000000"/>
                <w:sz w:val="20"/>
                <w:szCs w:val="20"/>
                <w:highlight w:val="none"/>
                <w:lang w:eastAsia="zh-CN"/>
              </w:rPr>
              <w:t>履行监督责任。</w:t>
            </w:r>
          </w:p>
        </w:tc>
        <w:tc>
          <w:tcPr>
            <w:tcW w:w="296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kern w:val="2"/>
                <w:sz w:val="20"/>
                <w:szCs w:val="20"/>
                <w:highlight w:val="none"/>
                <w:lang w:val="en-US" w:eastAsia="zh-CN" w:bidi="ar-SA"/>
              </w:rPr>
              <w:t xml:space="preserve"> 因不履行或不正确履行行政职责，有下列情形的，行政机关及相关工作人员应承担相应责任：</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kern w:val="2"/>
                <w:sz w:val="20"/>
                <w:szCs w:val="20"/>
                <w:highlight w:val="none"/>
                <w:lang w:val="en-US" w:eastAsia="zh-CN" w:bidi="ar-SA"/>
              </w:rPr>
              <w:t xml:space="preserve">   1.违反法定程序实施行政许可的；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kern w:val="2"/>
                <w:sz w:val="20"/>
                <w:szCs w:val="20"/>
                <w:highlight w:val="none"/>
                <w:lang w:val="en-US" w:eastAsia="zh-CN" w:bidi="ar-SA"/>
              </w:rPr>
              <w:t xml:space="preserve">   2.索取或者收受他人财物或者谋取其他利益的；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kern w:val="2"/>
                <w:sz w:val="20"/>
                <w:szCs w:val="20"/>
                <w:highlight w:val="none"/>
                <w:lang w:val="en-US" w:eastAsia="zh-CN" w:bidi="ar-SA"/>
              </w:rPr>
              <w:t xml:space="preserve">   3.对不符合法定条件的申请人准予行政许可或者超越法定职权作出准予行政许可决定的；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kern w:val="2"/>
                <w:sz w:val="20"/>
                <w:szCs w:val="20"/>
                <w:highlight w:val="none"/>
                <w:lang w:val="en-US" w:eastAsia="zh-CN" w:bidi="ar-SA"/>
              </w:rPr>
              <w:t xml:space="preserve">   4.对符合法定条件的申请人不予行政许可或者不在法定期限内作出准予行政许可决定的；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kern w:val="2"/>
                <w:sz w:val="20"/>
                <w:szCs w:val="20"/>
                <w:highlight w:val="none"/>
                <w:lang w:val="en-US" w:eastAsia="zh-CN" w:bidi="ar-SA"/>
              </w:rPr>
              <w:t xml:space="preserve">   5.擅自收费或者不按照法定项目和标准收费，截留、挪用、私分或者变相私分实施行政许可依法收取的费用的；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kern w:val="2"/>
                <w:sz w:val="20"/>
                <w:szCs w:val="20"/>
                <w:highlight w:val="none"/>
                <w:lang w:val="en-US" w:eastAsia="zh-CN" w:bidi="ar-SA"/>
              </w:rPr>
              <w:t xml:space="preserve">   6.行政机关不依法履行监督职责或者监督不力的；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kern w:val="2"/>
                <w:sz w:val="20"/>
                <w:szCs w:val="20"/>
                <w:highlight w:val="none"/>
                <w:lang w:val="en-US" w:eastAsia="zh-CN" w:bidi="ar-SA"/>
              </w:rPr>
              <w:t xml:space="preserve">   7.其他违反法律法规规章文件规定的行为。</w:t>
            </w:r>
          </w:p>
        </w:tc>
        <w:tc>
          <w:tcPr>
            <w:tcW w:w="416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kern w:val="2"/>
                <w:sz w:val="20"/>
                <w:szCs w:val="20"/>
                <w:highlight w:val="none"/>
                <w:lang w:val="en-US" w:eastAsia="zh-CN" w:bidi="ar-SA"/>
              </w:rPr>
              <w:t xml:space="preserve"> 1.【法律】《中华人民共和国行政许可法》（根据2019年4月23日第十三届全国人民代表大会常务委员会第十次会议《关于修改&lt;中华人民共和国建筑法&gt;等八部法律的决定》修正）第七十二条　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违法披露申请人提交的商业秘密、未披露信息或者保密商务信息的；（六）以转让技术作为取得行政许可的条件，或者在实施行政许可的过程中直接或者间接地要求转让技术的；（七）未依法说明不受理行政许可申请或者不予行政许可的理由的；（八）依法应当举行听证而不举行听证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kern w:val="2"/>
                <w:sz w:val="20"/>
                <w:szCs w:val="20"/>
                <w:highlight w:val="none"/>
                <w:lang w:val="en-US" w:eastAsia="zh-CN" w:bidi="ar-SA"/>
              </w:rPr>
              <w:t xml:space="preserve">    2.【法律】《中华人民共和国行政许可法》（根据2019年4月23日第十三届全国人民代表大会常务委员会第十次会议《关于修改&lt;中华人民共和国建筑法&gt;等八部法律的决定》修正）第七十三条 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kern w:val="2"/>
                <w:sz w:val="20"/>
                <w:szCs w:val="20"/>
                <w:highlight w:val="none"/>
                <w:lang w:val="en-US" w:eastAsia="zh-CN" w:bidi="ar-SA"/>
              </w:rPr>
              <w:t xml:space="preserve">    3.【法律】《中华人民共和国行政许可法》（根据2019年4月23日第十三届全国人民代表大会常务委员会第十次会议《关于修改&lt;中华人民共和国建筑法&gt;等八部法律的决定》修正）第七十四条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kern w:val="2"/>
                <w:sz w:val="20"/>
                <w:szCs w:val="20"/>
                <w:highlight w:val="none"/>
                <w:lang w:val="en-US" w:eastAsia="zh-CN" w:bidi="ar-SA"/>
              </w:rPr>
              <w:t xml:space="preserve">    4.【法律】《中华人民共和国行政许可法》（根据2019年4月23日第十三届全国人民代表大会常务委员会第十次会议《关于修改&lt;中华人民共和国建筑法&gt;等八部法律的决定》修正）第七十四条第（二）项 行政机关实施行政许可，有下列情形之一的，由其上级行政机关或者监察机关责令改正，对直接负责的主管人员和其他直接责任人员依法给予行政处分；构成犯罪的，依法追究刑事责任：（二）对符合法定条件的申请人不予行政许可或者不在法定期限内作出准予行政许可决定的；</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kern w:val="2"/>
                <w:sz w:val="20"/>
                <w:szCs w:val="20"/>
                <w:highlight w:val="none"/>
                <w:lang w:val="en-US" w:eastAsia="zh-CN" w:bidi="ar-SA"/>
              </w:rPr>
              <w:t xml:space="preserve">    5.【法律】《中华人民共和国行政许可法》（根据2019年4月23日第十三届全国人民代表大会常务委员会第十次会议《关于修改&lt;中华人民共和国建筑法&gt;等八部法律的决定》修正）第七十五条 行政机关实施行政许可，擅自收费或者不按照法定项目和标准收费的，由其上级行政机关或者监察机关责令退还非法收取的费用；对直接负责的主管人员和其他直接责任人员依法给予行政处分。截留、挪用、私分或者变相私分实施行政许可依法收取的费用的，予以追缴；对直接负责的主管人员和其他直接责任人员依法给予行政处分；构成犯罪的，依法追究刑事责任。</w:t>
            </w:r>
          </w:p>
          <w:p>
            <w:pPr>
              <w:widowControl/>
              <w:adjustRightInd w:val="0"/>
              <w:snapToGrid w:val="0"/>
              <w:spacing w:line="299" w:lineRule="exact"/>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kern w:val="2"/>
                <w:sz w:val="20"/>
                <w:szCs w:val="20"/>
                <w:highlight w:val="none"/>
                <w:lang w:val="en-US" w:eastAsia="zh-CN" w:bidi="ar-SA"/>
              </w:rPr>
              <w:t xml:space="preserve">    6.【法律】《中华人民共和国土地管理法》（1986年中华人民共和国主席令第41号公布  2004年中华人民共和国主席令第28号第二次修正，根据2019年8月26日第十三届全国人民代表大会常务委员会第十一次会议《关于修改&lt;中华人民共和国土地管理法&gt;、&lt;中华人民共和国城市房地产管理法&gt;的决定》第三次修正）第八十四条 自然资源主管部门、农业农村主管部门的工作人员玩忽职守、滥用职权、徇私舞弊，构成犯罪的，依法追究刑事责任；尚不构成犯罪的，依法给予处分。</w:t>
            </w:r>
          </w:p>
        </w:tc>
        <w:tc>
          <w:tcPr>
            <w:tcW w:w="117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i w:val="0"/>
                <w:iCs w:val="0"/>
                <w:caps w:val="0"/>
                <w:color w:val="auto"/>
                <w:spacing w:val="0"/>
                <w:sz w:val="20"/>
                <w:szCs w:val="20"/>
                <w:highlight w:val="none"/>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highlight w:val="none"/>
                <w:lang w:val="en-US" w:eastAsia="zh-CN" w:bidi="ar-SA"/>
              </w:rPr>
            </w:pPr>
          </w:p>
        </w:tc>
      </w:tr>
      <w:tr>
        <w:tblPrEx>
          <w:tblCellMar>
            <w:top w:w="28" w:type="dxa"/>
            <w:left w:w="28" w:type="dxa"/>
            <w:bottom w:w="28" w:type="dxa"/>
            <w:right w:w="28" w:type="dxa"/>
          </w:tblCellMar>
        </w:tblPrEx>
        <w:trPr>
          <w:trHeight w:val="10492"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adjustRightInd w:val="0"/>
              <w:snapToGrid w:val="0"/>
              <w:spacing w:line="260" w:lineRule="exact"/>
              <w:ind w:left="210" w:leftChars="0"/>
              <w:jc w:val="both"/>
              <w:rPr>
                <w:rFonts w:hint="eastAsia" w:ascii="仿宋_GB2312" w:hAnsi="仿宋_GB2312" w:eastAsia="仿宋_GB2312" w:cs="仿宋_GB2312"/>
                <w:snapToGrid w:val="0"/>
                <w:color w:val="auto"/>
                <w:sz w:val="20"/>
                <w:szCs w:val="20"/>
                <w:highlight w:val="none"/>
                <w:lang w:val="en-US" w:eastAsia="zh-CN"/>
              </w:rPr>
            </w:pPr>
            <w:r>
              <w:rPr>
                <w:rFonts w:hint="eastAsia" w:ascii="仿宋_GB2312" w:hAnsi="仿宋_GB2312" w:eastAsia="仿宋_GB2312" w:cs="仿宋_GB2312"/>
                <w:snapToGrid w:val="0"/>
                <w:color w:val="auto"/>
                <w:sz w:val="20"/>
                <w:szCs w:val="20"/>
                <w:highlight w:val="none"/>
                <w:lang w:val="en-US" w:eastAsia="zh-CN"/>
              </w:rPr>
              <w:t>3</w:t>
            </w:r>
          </w:p>
        </w:tc>
        <w:tc>
          <w:tcPr>
            <w:tcW w:w="457" w:type="dxa"/>
            <w:tcBorders>
              <w:top w:val="single" w:color="auto" w:sz="4" w:space="0"/>
              <w:left w:val="nil"/>
              <w:bottom w:val="single" w:color="auto" w:sz="4" w:space="0"/>
              <w:right w:val="single" w:color="auto" w:sz="4" w:space="0"/>
            </w:tcBorders>
            <w:noWrap w:val="0"/>
            <w:vAlign w:val="center"/>
          </w:tcPr>
          <w:p>
            <w:pPr>
              <w:adjustRightInd w:val="0"/>
              <w:snapToGrid w:val="0"/>
              <w:spacing w:line="260" w:lineRule="exact"/>
              <w:jc w:val="center"/>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color w:val="auto"/>
                <w:kern w:val="0"/>
                <w:sz w:val="20"/>
                <w:szCs w:val="20"/>
                <w:highlight w:val="none"/>
              </w:rPr>
              <w:t>行政许可</w:t>
            </w:r>
          </w:p>
        </w:tc>
        <w:tc>
          <w:tcPr>
            <w:tcW w:w="480" w:type="dxa"/>
            <w:tcBorders>
              <w:top w:val="single" w:color="auto" w:sz="4" w:space="0"/>
              <w:left w:val="nil"/>
              <w:bottom w:val="single" w:color="auto" w:sz="4" w:space="0"/>
              <w:right w:val="single" w:color="auto" w:sz="4" w:space="0"/>
            </w:tcBorders>
            <w:noWrap w:val="0"/>
            <w:vAlign w:val="center"/>
          </w:tcPr>
          <w:p>
            <w:pPr>
              <w:adjustRightInd w:val="0"/>
              <w:snapToGrid w:val="0"/>
              <w:spacing w:line="260" w:lineRule="exact"/>
              <w:jc w:val="center"/>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color w:val="auto"/>
                <w:kern w:val="0"/>
                <w:sz w:val="20"/>
                <w:szCs w:val="20"/>
                <w:highlight w:val="none"/>
              </w:rPr>
              <w:t>建设工程、临时建设工程规划许可</w:t>
            </w:r>
          </w:p>
        </w:tc>
        <w:tc>
          <w:tcPr>
            <w:tcW w:w="600" w:type="dxa"/>
            <w:tcBorders>
              <w:top w:val="single" w:color="auto" w:sz="4" w:space="0"/>
              <w:left w:val="nil"/>
              <w:bottom w:val="single" w:color="auto" w:sz="4" w:space="0"/>
              <w:right w:val="single" w:color="auto" w:sz="4" w:space="0"/>
            </w:tcBorders>
            <w:noWrap w:val="0"/>
            <w:vAlign w:val="center"/>
          </w:tcPr>
          <w:p>
            <w:pPr>
              <w:adjustRightInd w:val="0"/>
              <w:snapToGrid w:val="0"/>
              <w:spacing w:line="260" w:lineRule="exact"/>
              <w:jc w:val="center"/>
              <w:rPr>
                <w:rFonts w:hint="eastAsia" w:ascii="仿宋_GB2312" w:hAnsi="仿宋_GB2312" w:eastAsia="仿宋_GB2312" w:cs="仿宋_GB2312"/>
                <w:b w:val="0"/>
                <w:bCs w:val="0"/>
                <w:color w:val="auto"/>
                <w:kern w:val="0"/>
                <w:sz w:val="20"/>
                <w:szCs w:val="20"/>
                <w:highlight w:val="none"/>
                <w:lang w:val="en-US" w:eastAsia="zh-CN" w:bidi="ar-SA"/>
              </w:rPr>
            </w:pPr>
          </w:p>
        </w:tc>
        <w:tc>
          <w:tcPr>
            <w:tcW w:w="47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highlight w:val="none"/>
                <w:lang w:val="en-US" w:eastAsia="zh-CN" w:bidi="ar-SA"/>
              </w:rPr>
            </w:pPr>
            <w:r>
              <w:rPr>
                <w:rFonts w:hint="eastAsia" w:ascii="仿宋_GB2312" w:hAnsi="仿宋_GB2312" w:eastAsia="仿宋_GB2312" w:cs="仿宋_GB2312"/>
                <w:snapToGrid w:val="0"/>
                <w:sz w:val="20"/>
                <w:szCs w:val="20"/>
                <w:highlight w:val="none"/>
                <w:lang w:val="en-US" w:eastAsia="zh-CN"/>
              </w:rPr>
              <w:t>三江侗族自治县</w:t>
            </w:r>
            <w:r>
              <w:rPr>
                <w:rFonts w:hint="eastAsia" w:ascii="仿宋_GB2312" w:hAnsi="仿宋_GB2312" w:eastAsia="仿宋_GB2312" w:cs="仿宋_GB2312"/>
                <w:snapToGrid w:val="0"/>
                <w:sz w:val="20"/>
                <w:szCs w:val="20"/>
                <w:highlight w:val="none"/>
                <w:lang w:eastAsia="zh-CN"/>
              </w:rPr>
              <w:t>古宜镇</w:t>
            </w:r>
            <w:r>
              <w:rPr>
                <w:rFonts w:hint="eastAsia" w:ascii="仿宋_GB2312" w:hAnsi="仿宋_GB2312" w:eastAsia="仿宋_GB2312" w:cs="仿宋_GB2312"/>
                <w:snapToGrid w:val="0"/>
                <w:sz w:val="20"/>
                <w:szCs w:val="20"/>
                <w:highlight w:val="none"/>
                <w:lang w:val="en-US" w:eastAsia="zh-CN"/>
              </w:rPr>
              <w:t>人民政府</w:t>
            </w:r>
          </w:p>
        </w:tc>
        <w:tc>
          <w:tcPr>
            <w:tcW w:w="72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ind w:firstLine="0" w:firstLineChars="0"/>
              <w:rPr>
                <w:rFonts w:hint="eastAsia" w:ascii="仿宋_GB2312" w:hAnsi="仿宋_GB2312" w:eastAsia="仿宋_GB2312" w:cs="仿宋_GB2312"/>
                <w:snapToGrid w:val="0"/>
                <w:kern w:val="2"/>
                <w:sz w:val="20"/>
                <w:szCs w:val="20"/>
                <w:highlight w:val="none"/>
                <w:lang w:val="en-US" w:eastAsia="zh-CN" w:bidi="ar-SA"/>
              </w:rPr>
            </w:pPr>
            <w:r>
              <w:rPr>
                <w:rFonts w:hint="eastAsia" w:ascii="仿宋_GB2312" w:hAnsi="仿宋_GB2312" w:eastAsia="仿宋_GB2312" w:cs="仿宋_GB2312"/>
                <w:snapToGrid w:val="0"/>
                <w:sz w:val="20"/>
                <w:szCs w:val="20"/>
                <w:highlight w:val="none"/>
                <w:lang w:eastAsia="zh-CN"/>
              </w:rPr>
              <w:t>乡村建设综合服务中心</w:t>
            </w:r>
          </w:p>
        </w:tc>
        <w:tc>
          <w:tcPr>
            <w:tcW w:w="293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城乡规划法》（2007年10月28日主席令第七十四号，2015年4月24日予以修改）第四十条：在城市、镇规划区内进行建筑物、构筑物、道路、管线和其他工程建设的，建设单位或者个人应当向城市、县人民政府城乡规划主管部门或者省、自治区、直辖市人民政府确定的镇人民政府申请办理建设工程规划许可证。申请办理建设工程规划许可证，应当提交使用土地的有关证明文件、建设工程设计方案等材料。需要建设单位编制修建性详细规划的建设项目，还应当提交修建性详细规划。对符合控制性详细规划和规划条件的，由城市、县人民政府城乡规划主管部门或者省、自治区、直辖市人民政府确定的镇人民政府核发建设工程规划许可证。城市、县人民政府城乡规划主管部门或者省、自治区、直辖市人民政府确定的镇人民政府应当依法将经审定的修建性详细规划、建设工程设计方案的总平面图予以公布。</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【地方性法规】《广西壮族自治区实施〈中华人民共和国城乡规划法〉办法》（2010年3月31日讨论通过，自2010年6月1日起施行，2016年11月30日予以修正）第三十一条　在城市、镇规划区内进行建筑物、构筑物、道路、管线和其他工程建设的，建设单位或者个人应当向城市、县人民政府城乡规划主管部门或者自治区人民政府确定的镇人民政府申请办理建设工程规划许可证。未取得建设工程规划许可证的，不得进行建设。</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取得建设工程规划许可证的，应当按照建设工程规划许可证的规定进行建设。</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建设工程规划许可证按照以下规定办理：</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一）建设单位或者个人持使用土地的有关证明文件、建设项目批准文件、项目相关文件图纸、地形图、经依法审定的建设工程设计方案（需要编制修建性详细规划的，应提供经依法审定的修建性详细规划）及其相关材料，向城乡规划主管部门或者自治区人民政府确定的镇人民政府提出建设工程规划许可书面申请。</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kern w:val="2"/>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二）城乡规划主管部门或者自治区人民政府确定的镇人民政府审核建设单位或者个人是否符合法定资格，申请事项是否符合法定程序和法定形式，申请材料、图纸是否完备等；依据控制性详细规划、相关的法律法规以及其他具体要求，审核申请事项的内容。对符合条件的，核发建设工程规划许可证；对不符合条件的，不予核发，并书面说明理由。</w:t>
            </w: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受理阶段责任：一次性告知补正材料；依法受理或不予受理（不予受理应当告知理由）；</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审查阶段责任：对项目相关文件图纸、地形图、经依法审定的建设工程设计方案（需要编制修建性详细规划的，应提供经依法审定的修建性详细规划）及其相关材料进行初审，提出拟办意见，依程序审批；</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3</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 xml:space="preserve">决定阶段责任：作出准予审定或不予审定的审批决定；按时办结，法定告知； </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送达阶段责任：准予审定的，核发建设工程（含临时建设）规划许可证；不予审定的，制发不予审定决定，信息公开；</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5</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事后监管阶段责任：根据举报或发现的情况，依法对项目批后实施加强监督管理；</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kern w:val="2"/>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6</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其他法律法规政策规定应履行的责任。</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【法律】《中华人民共和国行政许可法》（2003年主席令第七号公布）第三十二条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【法律】《中华人民共和国行政许可法》（2003年主席令第七号公布）第三十四条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2-3</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【法律】《中华人民共和国行政许可法》（2003年主席令第七号公布）第四十六条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法律、法规、规章规定实施行政许可应当听证的事项，或者行政机关认为需要听证的其他涉及公共利益的重大行政许可事项，行政机关应当向社会公告，并举行听证。</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2-4</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【法规】《广西壮族自治区实施〈中华人民共和国城乡规划法〉办法》（2010年3月31日讨论通过，自2010年6月1日起施行，2016年11月30日予以修正） 第十五条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需要建设单位或者个人编制修建性详细规划或者建设工程设计方案的总平面图的，城乡规划主管部门或者自治区人民政府确定的镇人民政府应当依据控制性详细规划出具规划条件。建设单位或者个人应当委托具有相应资质的规划设计单位依据规划条件编制修建性详细规划或者建设工程设计方案的总平面图，报所在地的人民政府城乡规划主管部门或者自治区人民政府确定的镇人民政府审定。城乡规划主管部门或者自治区人民政府确定的镇人民政府对建设单位或者个人提交的修建性详细规划或者建设工程设计方案的总平面图进行审定，对符合控制性详细规划、规划条件和国家、自治区有关规范、标准要求的，予以审定；对不符合要求的，不予审定，并书面说明理由。</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3-1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【法律】《中华人民共和国行政许可法》（2003年主席令第七号公布）第三十七条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行政机关对行政许可申请进行审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查后，除了当场作出行政许可决定的，应在法定期限内按照规定程序作出行政许可决定。</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3-2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【法律】《中华人民共和国行政许可法》（2003年主席令第七号公布）第三十八条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【法律】《中华人民共和国行政许可法》（2003年主席令第七号公布）第四十条“行政机关作出的准予行政许可决定，应当予以公开，公众有权查阅。” </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4-2【法律】《中华人民共和国行政许可法》（2003年主席令第七号公布）第四十四条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行政机关作出准予行政许可的决定，应当自作出决定之日起十日内向申请人颁发、送达行政许可证件、或者加贴标签、加盖检验、检测、检疫印章。</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lang w:val="en-US" w:eastAsia="zh-CN"/>
              </w:rPr>
              <w:t>5.</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【法律】《中华人民共和国行政许可法》（2003年主席令第七号公布）第六十一条:"行政机关应当建立健全监督制度，通过核查反映被许可人从事行政许可事项活动情况的有关材料，履行监督责任。”</w:t>
            </w:r>
          </w:p>
          <w:p>
            <w:pPr>
              <w:widowControl/>
              <w:adjustRightInd w:val="0"/>
              <w:snapToGrid w:val="0"/>
              <w:spacing w:line="234" w:lineRule="exact"/>
              <w:ind w:firstLine="384" w:firstLineChars="200"/>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6</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【法规】《广西壮族自治区实施〈中华人民共和国城乡规划法〉办法》（2010年3月31日讨论通过，自2010年6月1日起施行，2016年11月30日予以修正）第三十一条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建设工程规划许可证按照以下规定办理：（一）建设单位或者个人持使用土地的有关证明文件、建设项目批准文件、项目相关文件图纸、地形图、经依法审定的建设工程设计方案（需要编制修建性详细规划的，应提供经依法审定的修建性详细规划）及其相关材料，向城乡规划主管部门或者自治区人民政府确定的镇人民政府提出建设工程规划许可书面申请。（二）城乡规划主管部门或者自治区人民政府确定的镇人民政府审核建设单位或者个人是否符合法定资格，申请事项是否符合法定程序和法定形式，申请材料、图纸是否完备等；依据控制性详细规划、相关的法律法规以及其他具体要求，审核申请事项的内容。对符合条件的，核发建设工程规划许可证；对不符合条件的，不予核发，并书面说明理由</w:t>
            </w:r>
          </w:p>
        </w:tc>
        <w:tc>
          <w:tcPr>
            <w:tcW w:w="296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因不履行或不正确履行行政职责,有下列情形的，行政机关及相关工作人员应承担相应责任：</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对符合审批条件的申请不予受理、或者不在法定期限内作出准予行政许可决定的。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对不符合审批条件的申请准予受理、准予行政许可或超越法定职权作出准予行政许可决定的。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3</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不履行或不正确履行行政权力，造成严重后果的。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在审批过程中失职渎职，玩忽职守、滥用职权，为他人谋取不正当利益的。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5</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腐败行为的。</w:t>
            </w:r>
          </w:p>
          <w:p>
            <w:pPr>
              <w:widowControl/>
              <w:adjustRightInd w:val="0"/>
              <w:snapToGrid w:val="0"/>
              <w:spacing w:line="234" w:lineRule="exact"/>
              <w:ind w:firstLine="384" w:firstLineChars="200"/>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6</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其他违反法律法规规章文件规定的行为。</w:t>
            </w:r>
          </w:p>
        </w:tc>
        <w:tc>
          <w:tcPr>
            <w:tcW w:w="416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城乡规划法》（2007年10月28日主席令第七十四号，2015年4月24日予以修改）第六十条“镇人民政府或者县级以上人民政府城乡规划主管部门有下列行为之一的，由本级人民政府、上级人民政府城乡规划主管部门或者监察机关依据职权责令改正，通报批评；对直接负责的主管人员和其他直接责任人员依法给予处分：（二）超越职权或者对不符合法定条件的申请人核发选址意见书、建设用地规划许可证、建设工程规划许可证、乡村建设规划许可证的；（三）对符合法定条件的申请人未在法定期限内核发选址意见书、建设用地规划许可证、建设工程规划许可证、乡村建设规划许可证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2-1</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同1。</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2-2</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【规章】《城乡规划违法违纪行为处分办法》（监察部、人社部、住建部令第29号） 第十条：县级以上地方人民政府城乡规划主管部门及其工作人员或者由省、自治区、直辖市人民政府确定的镇人民政府及其工作人员有下列行为之一的，对有关责任人员给予警告或者记过处分；情节较重的，给予记大过或者降级处分；情节严重的，给予撤职处分：（二）超越职权或者对不符合法定条件的申请人核发选址意见书、建设用地规划许可证、建设工程规划许可证、乡村建设规划许可证的；（三）对符合法定条件的申请人不予核发或者未在法定期限内核发选址意见书、建设用地规划许可证、建设工程规划许可证、乡村建设规划许可证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lang w:eastAsia="zh-CN"/>
              </w:rPr>
            </w:pPr>
            <w:r>
              <w:rPr>
                <w:rFonts w:hint="eastAsia" w:ascii="仿宋_GB2312" w:hAnsi="仿宋_GB2312" w:eastAsia="仿宋_GB2312" w:cs="仿宋_GB2312"/>
                <w:b w:val="0"/>
                <w:bCs w:val="0"/>
                <w:snapToGrid w:val="0"/>
                <w:color w:val="auto"/>
                <w:spacing w:val="-4"/>
                <w:sz w:val="20"/>
                <w:szCs w:val="20"/>
                <w:highlight w:val="none"/>
              </w:rPr>
              <w:t>3</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同1</w:t>
            </w:r>
            <w:r>
              <w:rPr>
                <w:rFonts w:hint="eastAsia" w:ascii="仿宋_GB2312" w:hAnsi="仿宋_GB2312" w:eastAsia="仿宋_GB2312" w:cs="仿宋_GB2312"/>
                <w:b w:val="0"/>
                <w:bCs w:val="0"/>
                <w:snapToGrid w:val="0"/>
                <w:color w:val="auto"/>
                <w:spacing w:val="-4"/>
                <w:sz w:val="20"/>
                <w:szCs w:val="20"/>
                <w:highlight w:val="none"/>
                <w:lang w:eastAsia="zh-CN"/>
              </w:rPr>
              <w:t>.</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4</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【法律】《中华人民共和国城乡规划法》（2007年10月28日主席令第七十四号，2015年4月24日予以修改）第六十一条</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县级以上人民政府有关部门有下列行为之一的，由本级人民政府或者上级人民政府有关部门责令改正，通报批评；对直接负责的主管人员和其他直接责任人员依法给予处分：（一）对未依法取得选址意见书的建设项目核发建设项目批准文件的；（二）未依法在国有土地使用权出让合同中确定规划条件或者改变国有土地使用权出让合同中依法确定的规划条件的。</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b w:val="0"/>
                <w:bCs w:val="0"/>
                <w:snapToGrid w:val="0"/>
                <w:color w:val="auto"/>
                <w:spacing w:val="-4"/>
                <w:sz w:val="20"/>
                <w:szCs w:val="20"/>
                <w:highlight w:val="none"/>
              </w:rPr>
              <w:t>5</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法律】《中华人民共和国行政许可法》（2003年主席令第七号公布）（2003年8月27日通过，中华人民共和国主席令7号）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34" w:lineRule="exact"/>
              <w:ind w:firstLine="384" w:firstLineChars="200"/>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rPr>
              <w:t>6</w:t>
            </w:r>
            <w:r>
              <w:rPr>
                <w:rFonts w:hint="eastAsia" w:ascii="仿宋_GB2312" w:hAnsi="仿宋_GB2312" w:eastAsia="仿宋_GB2312" w:cs="仿宋_GB2312"/>
                <w:b w:val="0"/>
                <w:bCs w:val="0"/>
                <w:snapToGrid w:val="0"/>
                <w:color w:val="auto"/>
                <w:spacing w:val="-4"/>
                <w:sz w:val="20"/>
                <w:szCs w:val="20"/>
                <w:highlight w:val="none"/>
                <w:lang w:eastAsia="zh-CN"/>
              </w:rPr>
              <w:t>.</w:t>
            </w:r>
            <w:r>
              <w:rPr>
                <w:rFonts w:hint="eastAsia" w:ascii="仿宋_GB2312" w:hAnsi="仿宋_GB2312" w:eastAsia="仿宋_GB2312" w:cs="仿宋_GB2312"/>
                <w:b w:val="0"/>
                <w:bCs w:val="0"/>
                <w:snapToGrid w:val="0"/>
                <w:color w:val="auto"/>
                <w:spacing w:val="-4"/>
                <w:sz w:val="20"/>
                <w:szCs w:val="20"/>
                <w:highlight w:val="none"/>
              </w:rPr>
              <w:t>同1</w:t>
            </w:r>
            <w:r>
              <w:rPr>
                <w:rFonts w:hint="eastAsia" w:ascii="仿宋_GB2312" w:hAnsi="仿宋_GB2312" w:eastAsia="仿宋_GB2312" w:cs="仿宋_GB2312"/>
                <w:b w:val="0"/>
                <w:bCs w:val="0"/>
                <w:snapToGrid w:val="0"/>
                <w:color w:val="auto"/>
                <w:spacing w:val="-4"/>
                <w:sz w:val="20"/>
                <w:szCs w:val="20"/>
                <w:highlight w:val="none"/>
                <w:lang w:eastAsia="zh-CN"/>
              </w:rPr>
              <w:t>.</w:t>
            </w:r>
          </w:p>
        </w:tc>
        <w:tc>
          <w:tcPr>
            <w:tcW w:w="117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384" w:firstLineChars="200"/>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b w:val="0"/>
                <w:bCs w:val="0"/>
                <w:snapToGrid w:val="0"/>
                <w:color w:val="auto"/>
                <w:spacing w:val="-4"/>
                <w:sz w:val="20"/>
                <w:szCs w:val="20"/>
                <w:highlight w:val="none"/>
                <w:lang w:eastAsia="zh-CN"/>
              </w:rPr>
              <w:t>法律法规规定的免责情形以及市委、市人民政府有关文件中明确的免责情形。</w:t>
            </w:r>
          </w:p>
        </w:tc>
        <w:tc>
          <w:tcPr>
            <w:tcW w:w="73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400" w:firstLineChars="200"/>
              <w:rPr>
                <w:rFonts w:hint="eastAsia" w:ascii="仿宋_GB2312" w:hAnsi="仿宋_GB2312" w:eastAsia="仿宋_GB2312" w:cs="仿宋_GB2312"/>
                <w:snapToGrid w:val="0"/>
                <w:color w:val="auto"/>
                <w:kern w:val="2"/>
                <w:sz w:val="20"/>
                <w:szCs w:val="20"/>
                <w:highlight w:val="none"/>
                <w:lang w:val="en-US" w:eastAsia="zh-CN" w:bidi="ar-SA"/>
              </w:rPr>
            </w:pPr>
          </w:p>
        </w:tc>
      </w:tr>
      <w:tr>
        <w:tblPrEx>
          <w:tblCellMar>
            <w:top w:w="28" w:type="dxa"/>
            <w:left w:w="28" w:type="dxa"/>
            <w:bottom w:w="28" w:type="dxa"/>
            <w:right w:w="28" w:type="dxa"/>
          </w:tblCellMar>
        </w:tblPrEx>
        <w:trPr>
          <w:trHeight w:val="10492" w:hRule="atLeast"/>
        </w:trPr>
        <w:tc>
          <w:tcPr>
            <w:tcW w:w="52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298" w:lineRule="exact"/>
              <w:jc w:val="center"/>
              <w:textAlignment w:val="center"/>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sz w:val="20"/>
                <w:szCs w:val="20"/>
                <w:highlight w:val="none"/>
                <w:lang w:val="en-US" w:eastAsia="zh-CN" w:bidi="ar"/>
              </w:rPr>
              <w:t>4</w:t>
            </w:r>
          </w:p>
        </w:tc>
        <w:tc>
          <w:tcPr>
            <w:tcW w:w="45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jc w:val="center"/>
              <w:textAlignment w:val="center"/>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sz w:val="20"/>
                <w:szCs w:val="20"/>
                <w:highlight w:val="none"/>
                <w:lang w:bidi="ar"/>
              </w:rPr>
              <w:t>行政许可</w:t>
            </w:r>
          </w:p>
        </w:tc>
        <w:tc>
          <w:tcPr>
            <w:tcW w:w="48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textAlignment w:val="center"/>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sz w:val="20"/>
                <w:szCs w:val="20"/>
                <w:highlight w:val="none"/>
                <w:lang w:bidi="ar"/>
              </w:rPr>
              <w:t>涉路施工许可</w:t>
            </w:r>
          </w:p>
        </w:tc>
        <w:tc>
          <w:tcPr>
            <w:tcW w:w="600" w:type="dxa"/>
            <w:tcBorders>
              <w:top w:val="single" w:color="auto" w:sz="4" w:space="0"/>
              <w:left w:val="nil"/>
              <w:bottom w:val="single" w:color="auto" w:sz="4" w:space="0"/>
              <w:right w:val="single" w:color="auto" w:sz="4" w:space="0"/>
            </w:tcBorders>
            <w:noWrap w:val="0"/>
            <w:vAlign w:val="center"/>
          </w:tcPr>
          <w:p>
            <w:pPr>
              <w:adjustRightInd w:val="0"/>
              <w:snapToGrid w:val="0"/>
              <w:spacing w:line="298" w:lineRule="exact"/>
              <w:rPr>
                <w:rFonts w:hint="eastAsia" w:ascii="仿宋_GB2312" w:hAnsi="仿宋_GB2312" w:eastAsia="仿宋_GB2312" w:cs="仿宋_GB2312"/>
                <w:snapToGrid w:val="0"/>
                <w:color w:val="000000"/>
                <w:kern w:val="2"/>
                <w:sz w:val="20"/>
                <w:szCs w:val="20"/>
                <w:highlight w:val="none"/>
                <w:lang w:val="en-US" w:eastAsia="zh-CN" w:bidi="ar-SA"/>
              </w:rPr>
            </w:pPr>
          </w:p>
        </w:tc>
        <w:tc>
          <w:tcPr>
            <w:tcW w:w="47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sz w:val="20"/>
                <w:szCs w:val="20"/>
                <w:highlight w:val="none"/>
                <w:lang w:val="en-US" w:eastAsia="zh-CN"/>
              </w:rPr>
              <w:t>三江侗族自治县</w:t>
            </w:r>
            <w:r>
              <w:rPr>
                <w:rFonts w:hint="eastAsia" w:ascii="仿宋_GB2312" w:hAnsi="仿宋_GB2312" w:eastAsia="仿宋_GB2312" w:cs="仿宋_GB2312"/>
                <w:snapToGrid w:val="0"/>
                <w:sz w:val="20"/>
                <w:szCs w:val="20"/>
                <w:highlight w:val="none"/>
                <w:lang w:eastAsia="zh-CN"/>
              </w:rPr>
              <w:t>古宜镇</w:t>
            </w:r>
            <w:r>
              <w:rPr>
                <w:rFonts w:hint="eastAsia" w:ascii="仿宋_GB2312" w:hAnsi="仿宋_GB2312" w:eastAsia="仿宋_GB2312" w:cs="仿宋_GB2312"/>
                <w:snapToGrid w:val="0"/>
                <w:sz w:val="20"/>
                <w:szCs w:val="20"/>
                <w:highlight w:val="none"/>
                <w:lang w:val="en-US" w:eastAsia="zh-CN"/>
              </w:rPr>
              <w:t>人民政府</w:t>
            </w:r>
          </w:p>
        </w:tc>
        <w:tc>
          <w:tcPr>
            <w:tcW w:w="72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000000"/>
                <w:sz w:val="20"/>
                <w:szCs w:val="20"/>
                <w:highlight w:val="none"/>
                <w:lang w:bidi="ar"/>
              </w:rPr>
            </w:pPr>
            <w:r>
              <w:rPr>
                <w:rFonts w:hint="eastAsia" w:ascii="仿宋_GB2312" w:hAnsi="仿宋_GB2312" w:eastAsia="仿宋_GB2312" w:cs="仿宋_GB2312"/>
                <w:snapToGrid w:val="0"/>
                <w:color w:val="000000"/>
                <w:sz w:val="20"/>
                <w:szCs w:val="20"/>
                <w:highlight w:val="none"/>
                <w:lang w:val="en-US" w:eastAsia="zh-CN" w:bidi="ar"/>
              </w:rPr>
              <w:t>乡村建设综合服务中心（综合行政执法队）</w:t>
            </w:r>
          </w:p>
        </w:tc>
        <w:tc>
          <w:tcPr>
            <w:tcW w:w="2939"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highlight w:val="none"/>
                <w:lang w:bidi="ar"/>
              </w:rPr>
            </w:pPr>
            <w:r>
              <w:rPr>
                <w:rFonts w:hint="eastAsia" w:ascii="仿宋_GB2312" w:hAnsi="仿宋_GB2312" w:eastAsia="仿宋_GB2312" w:cs="仿宋_GB2312"/>
                <w:snapToGrid w:val="0"/>
                <w:color w:val="000000"/>
                <w:sz w:val="20"/>
                <w:szCs w:val="20"/>
                <w:highlight w:val="none"/>
                <w:lang w:bidi="ar"/>
              </w:rPr>
              <w:t>1.【法律】《中华人民共和国公路法》第四十五条：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highlight w:val="none"/>
                <w:lang w:bidi="ar"/>
              </w:rPr>
            </w:pPr>
            <w:r>
              <w:rPr>
                <w:rFonts w:hint="eastAsia" w:ascii="仿宋_GB2312" w:hAnsi="仿宋_GB2312" w:eastAsia="仿宋_GB2312" w:cs="仿宋_GB2312"/>
                <w:snapToGrid w:val="0"/>
                <w:color w:val="000000"/>
                <w:sz w:val="20"/>
                <w:szCs w:val="20"/>
                <w:highlight w:val="none"/>
                <w:lang w:bidi="ar"/>
              </w:rPr>
              <w:t>第五十六条：除公路防护、养护需要的以外，禁止在公路两侧的建筑控制区内修建建筑物和地面构筑物；需要在建筑控制区内埋设管线、电缆等设施的，应当事先经县级以上地方人民政府交通主管部门批准。</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sz w:val="20"/>
                <w:szCs w:val="20"/>
                <w:highlight w:val="none"/>
                <w:lang w:bidi="ar"/>
              </w:rPr>
              <w:t>2.【行政法规】《公路安全保护条例》（2011年国务院令第593号）第二十七条： 进行下列涉路施工活动，建设单位应当向公路管理机构提出申请：（二）跨越、穿越公路修建桥梁、渡槽或者架设、埋设管道、电缆等设施；（三）在公路用地范围内架设、埋设管道、电缆等设施；（四）利用公路桥梁、公路隧道、涵洞铺设电缆等设施；（七）在公路建筑控制区内埋设管道、电缆等设施。</w:t>
            </w:r>
          </w:p>
        </w:tc>
        <w:tc>
          <w:tcPr>
            <w:tcW w:w="273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highlight w:val="none"/>
                <w:lang w:bidi="ar"/>
              </w:rPr>
            </w:pPr>
            <w:r>
              <w:rPr>
                <w:rFonts w:hint="eastAsia" w:ascii="仿宋_GB2312" w:hAnsi="仿宋_GB2312" w:eastAsia="仿宋_GB2312" w:cs="仿宋_GB2312"/>
                <w:snapToGrid w:val="0"/>
                <w:color w:val="000000"/>
                <w:sz w:val="20"/>
                <w:szCs w:val="20"/>
                <w:highlight w:val="none"/>
                <w:lang w:bidi="ar"/>
              </w:rPr>
              <w:t>1.受理责任：公示应当提交的材料；一次性告知补正材料；依法受理或不予受理（不予受理应当告知理由）。</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highlight w:val="none"/>
                <w:lang w:bidi="ar"/>
              </w:rPr>
            </w:pPr>
            <w:r>
              <w:rPr>
                <w:rFonts w:hint="eastAsia" w:ascii="仿宋_GB2312" w:hAnsi="仿宋_GB2312" w:eastAsia="仿宋_GB2312" w:cs="仿宋_GB2312"/>
                <w:snapToGrid w:val="0"/>
                <w:color w:val="000000"/>
                <w:sz w:val="20"/>
                <w:szCs w:val="20"/>
                <w:highlight w:val="none"/>
                <w:lang w:bidi="ar"/>
              </w:rPr>
              <w:t>2.审查责任：按照政策规定对书面材料进行审查，提出是否同意审批的初步意见，告知申请人、利害相关人享有听证权利；涉及公共利益的重大许可，向社会公告，并举行听证。</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highlight w:val="none"/>
                <w:lang w:bidi="ar"/>
              </w:rPr>
            </w:pPr>
            <w:r>
              <w:rPr>
                <w:rFonts w:hint="eastAsia" w:ascii="仿宋_GB2312" w:hAnsi="仿宋_GB2312" w:eastAsia="仿宋_GB2312" w:cs="仿宋_GB2312"/>
                <w:snapToGrid w:val="0"/>
                <w:color w:val="000000"/>
                <w:sz w:val="20"/>
                <w:szCs w:val="20"/>
                <w:highlight w:val="none"/>
                <w:lang w:bidi="ar"/>
              </w:rPr>
              <w:t>3.决定责任：作出行政许可或者不予行政许可决定，法定告知（不予许可的应当书面告知理由）。</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highlight w:val="none"/>
                <w:lang w:bidi="ar"/>
              </w:rPr>
            </w:pPr>
            <w:r>
              <w:rPr>
                <w:rFonts w:hint="eastAsia" w:ascii="仿宋_GB2312" w:hAnsi="仿宋_GB2312" w:eastAsia="仿宋_GB2312" w:cs="仿宋_GB2312"/>
                <w:snapToGrid w:val="0"/>
                <w:color w:val="000000"/>
                <w:sz w:val="20"/>
                <w:szCs w:val="20"/>
                <w:highlight w:val="none"/>
                <w:lang w:bidi="ar"/>
              </w:rPr>
              <w:t>4.送达责任：准予许可的制发送达审批决定。</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highlight w:val="none"/>
                <w:lang w:bidi="ar"/>
              </w:rPr>
            </w:pPr>
            <w:r>
              <w:rPr>
                <w:rFonts w:hint="eastAsia" w:ascii="仿宋_GB2312" w:hAnsi="仿宋_GB2312" w:eastAsia="仿宋_GB2312" w:cs="仿宋_GB2312"/>
                <w:snapToGrid w:val="0"/>
                <w:color w:val="000000"/>
                <w:sz w:val="20"/>
                <w:szCs w:val="20"/>
                <w:highlight w:val="none"/>
                <w:lang w:bidi="ar"/>
              </w:rPr>
              <w:t>5.事后监管环节责任：开展定期和不定期检查，对审批后的相关事宜实施监督管理。</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sz w:val="20"/>
                <w:szCs w:val="20"/>
                <w:highlight w:val="none"/>
                <w:lang w:bidi="ar"/>
              </w:rPr>
              <w:t>6.其他法律法规规章文件规定应履行的责任。</w:t>
            </w:r>
          </w:p>
        </w:tc>
        <w:tc>
          <w:tcPr>
            <w:tcW w:w="3811"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highlight w:val="none"/>
                <w:lang w:bidi="ar"/>
              </w:rPr>
            </w:pPr>
            <w:r>
              <w:rPr>
                <w:rFonts w:hint="eastAsia" w:ascii="仿宋_GB2312" w:hAnsi="仿宋_GB2312" w:eastAsia="仿宋_GB2312" w:cs="仿宋_GB2312"/>
                <w:snapToGrid w:val="0"/>
                <w:color w:val="000000"/>
                <w:sz w:val="20"/>
                <w:szCs w:val="20"/>
                <w:highlight w:val="none"/>
                <w:lang w:bidi="ar"/>
              </w:rPr>
              <w:t>1.【法律】《中华人民共和国行政许可法》第三十条：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highlight w:val="none"/>
                <w:lang w:bidi="ar"/>
              </w:rPr>
            </w:pPr>
            <w:r>
              <w:rPr>
                <w:rFonts w:hint="eastAsia" w:ascii="仿宋_GB2312" w:hAnsi="仿宋_GB2312" w:eastAsia="仿宋_GB2312" w:cs="仿宋_GB2312"/>
                <w:snapToGrid w:val="0"/>
                <w:color w:val="000000"/>
                <w:sz w:val="20"/>
                <w:szCs w:val="20"/>
                <w:highlight w:val="none"/>
                <w:lang w:bidi="ar"/>
              </w:rPr>
              <w:t>第三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5日内一次性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并注明日期的书面凭证。</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highlight w:val="none"/>
                <w:lang w:bidi="ar"/>
              </w:rPr>
            </w:pPr>
            <w:r>
              <w:rPr>
                <w:rFonts w:hint="eastAsia" w:ascii="仿宋_GB2312" w:hAnsi="仿宋_GB2312" w:eastAsia="仿宋_GB2312" w:cs="仿宋_GB2312"/>
                <w:snapToGrid w:val="0"/>
                <w:color w:val="000000"/>
                <w:sz w:val="20"/>
                <w:szCs w:val="20"/>
                <w:highlight w:val="none"/>
                <w:lang w:bidi="ar"/>
              </w:rPr>
              <w:t>2.【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highlight w:val="none"/>
                <w:lang w:bidi="ar"/>
              </w:rPr>
            </w:pPr>
            <w:r>
              <w:rPr>
                <w:rFonts w:hint="eastAsia" w:ascii="仿宋_GB2312" w:hAnsi="仿宋_GB2312" w:eastAsia="仿宋_GB2312" w:cs="仿宋_GB2312"/>
                <w:snapToGrid w:val="0"/>
                <w:color w:val="000000"/>
                <w:sz w:val="20"/>
                <w:szCs w:val="20"/>
                <w:highlight w:val="none"/>
                <w:lang w:bidi="ar"/>
              </w:rPr>
              <w:t>3.【法律】《中华人民共和国行政许可法》第三十六条：行政机关对行政许可申请进行审查时，发现行政许可事项直接关系他人重大利益的，应当告知该利害关系人。申请人、利害关系人有权进行陈述和申辩。行政机关应当听取申请人、利害关系人的意见。</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highlight w:val="none"/>
                <w:lang w:bidi="ar"/>
              </w:rPr>
            </w:pPr>
            <w:r>
              <w:rPr>
                <w:rFonts w:hint="eastAsia" w:ascii="仿宋_GB2312" w:hAnsi="仿宋_GB2312" w:eastAsia="仿宋_GB2312" w:cs="仿宋_GB2312"/>
                <w:snapToGrid w:val="0"/>
                <w:color w:val="000000"/>
                <w:sz w:val="20"/>
                <w:szCs w:val="20"/>
                <w:highlight w:val="none"/>
                <w:lang w:bidi="ar"/>
              </w:rPr>
              <w:t>第三十七条：行政机关对行政许可申请进行审查后，除当场作出行政许可决定的外，应当在法定期限内按照规定程序作出行政许可决定。</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highlight w:val="none"/>
                <w:lang w:bidi="ar"/>
              </w:rPr>
            </w:pPr>
            <w:r>
              <w:rPr>
                <w:rFonts w:hint="eastAsia" w:ascii="仿宋_GB2312" w:hAnsi="仿宋_GB2312" w:eastAsia="仿宋_GB2312" w:cs="仿宋_GB2312"/>
                <w:snapToGrid w:val="0"/>
                <w:color w:val="000000"/>
                <w:sz w:val="20"/>
                <w:szCs w:val="20"/>
                <w:highlight w:val="none"/>
                <w:lang w:bidi="ar"/>
              </w:rPr>
              <w:t>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highlight w:val="none"/>
                <w:lang w:bidi="ar"/>
              </w:rPr>
            </w:pPr>
            <w:r>
              <w:rPr>
                <w:rFonts w:hint="eastAsia" w:ascii="仿宋_GB2312" w:hAnsi="仿宋_GB2312" w:eastAsia="仿宋_GB2312" w:cs="仿宋_GB2312"/>
                <w:snapToGrid w:val="0"/>
                <w:color w:val="000000"/>
                <w:sz w:val="20"/>
                <w:szCs w:val="20"/>
                <w:highlight w:val="none"/>
                <w:lang w:bidi="ar"/>
              </w:rPr>
              <w:t>4.【法律】《中华人民共和国行政许可法》第三十九条：行政机关作出准予行政许可的决定，需要颁发行政许可证件的，应当向申请人颁发加盖本行政机关印章的下列行政许可证件：（一）许可证、执照或者其他许可证书；（二）资格证、资质证或者其他合格证书；（三）行政机关的批准文件或者证明文件；（四）法律、法规规定的其他行政许可证件。行政机关实施检验、检测、检疫的，可以在检验、检测、检疫合格的设备、设施、产品、物品上加贴标签或者加盖检验、检测、检疫印章。</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highlight w:val="none"/>
                <w:lang w:bidi="ar"/>
              </w:rPr>
            </w:pPr>
            <w:r>
              <w:rPr>
                <w:rFonts w:hint="eastAsia" w:ascii="仿宋_GB2312" w:hAnsi="仿宋_GB2312" w:eastAsia="仿宋_GB2312" w:cs="仿宋_GB2312"/>
                <w:snapToGrid w:val="0"/>
                <w:color w:val="000000"/>
                <w:sz w:val="20"/>
                <w:szCs w:val="20"/>
                <w:highlight w:val="none"/>
                <w:lang w:bidi="ar"/>
              </w:rPr>
              <w:t>第四十条：行政机关作出的准予行政许可决定，应当予以公开，公众有权查阅。</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sz w:val="20"/>
                <w:szCs w:val="20"/>
                <w:highlight w:val="none"/>
                <w:lang w:bidi="ar"/>
              </w:rPr>
            </w:pPr>
            <w:r>
              <w:rPr>
                <w:rFonts w:hint="eastAsia" w:ascii="仿宋_GB2312" w:hAnsi="仿宋_GB2312" w:eastAsia="仿宋_GB2312" w:cs="仿宋_GB2312"/>
                <w:snapToGrid w:val="0"/>
                <w:color w:val="000000"/>
                <w:sz w:val="20"/>
                <w:szCs w:val="20"/>
                <w:highlight w:val="none"/>
                <w:lang w:bidi="ar"/>
              </w:rPr>
              <w:t>第四十四条：行政机关作出准予行政许可的决定，应当自作出决定之日起十日内向申请人颁发、送达行政许可证件，或者加贴标签、加盖检验、检测、检疫印章。</w:t>
            </w:r>
          </w:p>
          <w:p>
            <w:pPr>
              <w:widowControl/>
              <w:adjustRightInd w:val="0"/>
              <w:snapToGrid w:val="0"/>
              <w:spacing w:line="298" w:lineRule="exact"/>
              <w:ind w:firstLine="400" w:firstLineChars="200"/>
              <w:textAlignment w:val="center"/>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snapToGrid w:val="0"/>
                <w:color w:val="000000"/>
                <w:sz w:val="20"/>
                <w:szCs w:val="20"/>
                <w:highlight w:val="none"/>
                <w:lang w:bidi="ar"/>
              </w:rPr>
              <w:t>5.【法律】《中华人民共和国行政许可法》第六十一条：行政机关应当建立健全监督制度，通过检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行政机关应当创造条件，实现与被许可人、其他有关行政机关的计算机档案系统互联，核查被许可人从事行政许可事项活动情况。</w:t>
            </w:r>
          </w:p>
        </w:tc>
        <w:tc>
          <w:tcPr>
            <w:tcW w:w="2969" w:type="dxa"/>
            <w:tcBorders>
              <w:top w:val="single" w:color="auto" w:sz="4" w:space="0"/>
              <w:left w:val="nil"/>
              <w:bottom w:val="single" w:color="auto" w:sz="4" w:space="0"/>
              <w:right w:val="single" w:color="auto"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因不履行或不正确履行行政职责，有下列情形的，行政机关及相关工作人员应承担相应责任：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1、对符合法定条件的申请不予行政许可的；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2、对不符合法定条件的申请予以行政许可的；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3、在受理、审查、决定行政许可过程中，未向申请人、利害关系人履行法定告知义务的；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4、在行政许可工作中违反法定权限、条件和程序设定或者实施行政许可的；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5、不依法履行行政许可监督职责或监督不力造成严重后果的；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6、在许可过程中徇私舞弊、滥用职权或者玩忽职守的；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7、其他违反法律法规文件规定的行为。</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p>
        </w:tc>
        <w:tc>
          <w:tcPr>
            <w:tcW w:w="4161" w:type="dxa"/>
            <w:tcBorders>
              <w:top w:val="single" w:color="auto" w:sz="4" w:space="0"/>
              <w:left w:val="nil"/>
              <w:bottom w:val="single" w:color="auto" w:sz="4" w:space="0"/>
              <w:right w:val="single" w:color="auto"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2.【法律】《中华人民共和国行政许可法》（2003年主席令第七号公布）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3.同1，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4.【法规】《行政机关公务员处分条例》（2007年国务院令第495号）第二十一条　有下列行为之一的，给予警告或者记过处分；情节较重的，给予记大过或者降级处分；情节严重的，给予撤职处分：（一）在行政许可工作中违反法定权限、条件和程序设定或者实施行政许可的；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5.【法律】《中华人民共和国行政许可法》（2003年主席令第七号公布）  第七十三条行政机关工作人员办理行政许可、实施监督检查，索取或者收受他人财物或者谋取其他利益，构成犯罪的，依法追究刑事责任；尚不构成犯罪的，依法给予行政处分。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405"/>
              <w:textAlignment w:val="center"/>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6.【法律】《中华人民共和国行政许可法》（2003年主席令第七号公布）  第七十三条行政机关工作人员办理行政许可、实施监督检查，索取或者收受他人财物或者谋取其他利益，构成犯罪的，依法追究刑事责任；尚不构成犯罪的，依法给予行政处分。</w:t>
            </w:r>
          </w:p>
          <w:p>
            <w:pPr>
              <w:widowControl/>
              <w:adjustRightInd w:val="0"/>
              <w:snapToGrid w:val="0"/>
              <w:spacing w:line="234" w:lineRule="exact"/>
              <w:ind w:firstLine="384" w:firstLineChars="200"/>
              <w:rPr>
                <w:rFonts w:hint="eastAsia" w:ascii="仿宋_GB2312" w:hAnsi="仿宋_GB2312" w:eastAsia="仿宋_GB2312" w:cs="仿宋_GB2312"/>
                <w:b w:val="0"/>
                <w:bCs w:val="0"/>
                <w:snapToGrid w:val="0"/>
                <w:color w:val="auto"/>
                <w:spacing w:val="-4"/>
                <w:sz w:val="20"/>
                <w:szCs w:val="20"/>
                <w:highlight w:val="none"/>
              </w:rPr>
            </w:pPr>
          </w:p>
        </w:tc>
        <w:tc>
          <w:tcPr>
            <w:tcW w:w="1170"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ind w:firstLine="400" w:firstLineChars="200"/>
              <w:rPr>
                <w:rFonts w:hint="eastAsia" w:ascii="仿宋_GB2312" w:hAnsi="仿宋_GB2312" w:eastAsia="仿宋_GB2312" w:cs="仿宋_GB2312"/>
                <w:b w:val="0"/>
                <w:bCs w:val="0"/>
                <w:snapToGrid w:val="0"/>
                <w:color w:val="auto"/>
                <w:spacing w:val="-4"/>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法律法规规定的免责情形及《自治区党委办公厅关于印发〈深入推进激励干部新时代新担当新作为工作实施方案〉等6个文件的通知》中明确的免责情形。</w:t>
            </w:r>
          </w:p>
        </w:tc>
        <w:tc>
          <w:tcPr>
            <w:tcW w:w="737" w:type="dxa"/>
            <w:tcBorders>
              <w:top w:val="single" w:color="auto" w:sz="4" w:space="0"/>
              <w:left w:val="nil"/>
              <w:bottom w:val="single" w:color="auto" w:sz="4" w:space="0"/>
              <w:right w:val="single" w:color="auto" w:sz="4" w:space="0"/>
            </w:tcBorders>
            <w:noWrap w:val="0"/>
            <w:vAlign w:val="center"/>
          </w:tcPr>
          <w:p>
            <w:pPr>
              <w:widowControl/>
              <w:adjustRightInd w:val="0"/>
              <w:snapToGrid w:val="0"/>
              <w:spacing w:line="234" w:lineRule="exact"/>
              <w:rPr>
                <w:rFonts w:hint="eastAsia" w:ascii="仿宋_GB2312" w:hAnsi="仿宋_GB2312" w:eastAsia="仿宋_GB2312" w:cs="仿宋_GB2312"/>
                <w:b w:val="0"/>
                <w:bCs w:val="0"/>
                <w:snapToGrid w:val="0"/>
                <w:color w:val="auto"/>
                <w:spacing w:val="-4"/>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0"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kern w:val="0"/>
                <w:sz w:val="20"/>
                <w:szCs w:val="20"/>
                <w:highlight w:val="none"/>
                <w:lang w:val="en-US" w:eastAsia="zh-CN" w:bidi="ar"/>
              </w:rPr>
            </w:pPr>
            <w:r>
              <w:rPr>
                <w:rFonts w:hint="eastAsia" w:ascii="仿宋_GB2312" w:hAnsi="仿宋_GB2312" w:eastAsia="仿宋_GB2312" w:cs="仿宋_GB2312"/>
                <w:kern w:val="0"/>
                <w:sz w:val="20"/>
                <w:szCs w:val="20"/>
                <w:highlight w:val="none"/>
                <w:lang w:val="en-US" w:eastAsia="zh-CN" w:bidi="ar"/>
              </w:rPr>
              <w:t>5</w:t>
            </w:r>
          </w:p>
        </w:tc>
        <w:tc>
          <w:tcPr>
            <w:tcW w:w="457" w:type="dxa"/>
            <w:shd w:val="clear" w:color="auto" w:fill="FFFFFF"/>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jc w:val="center"/>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行政许可</w:t>
            </w:r>
          </w:p>
        </w:tc>
        <w:tc>
          <w:tcPr>
            <w:tcW w:w="48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textAlignment w:val="center"/>
              <w:rPr>
                <w:rFonts w:hint="eastAsia" w:ascii="仿宋_GB2312" w:hAnsi="仿宋_GB2312" w:eastAsia="仿宋_GB2312" w:cs="仿宋_GB2312"/>
                <w:color w:val="auto"/>
                <w:kern w:val="0"/>
                <w:sz w:val="20"/>
                <w:szCs w:val="20"/>
                <w:highlight w:val="none"/>
                <w:lang w:val="en-US" w:eastAsia="zh-CN" w:bidi="ar"/>
              </w:rPr>
            </w:pPr>
            <w:r>
              <w:rPr>
                <w:rFonts w:hint="eastAsia" w:ascii="仿宋_GB2312" w:hAnsi="仿宋_GB2312" w:eastAsia="仿宋_GB2312" w:cs="仿宋_GB2312"/>
                <w:color w:val="auto"/>
                <w:kern w:val="0"/>
                <w:sz w:val="20"/>
                <w:szCs w:val="20"/>
                <w:highlight w:val="none"/>
                <w:lang w:eastAsia="zh-CN" w:bidi="ar"/>
              </w:rPr>
              <w:t>工商企业等社会资本通过流转取得土地经营权审批</w:t>
            </w:r>
          </w:p>
        </w:tc>
        <w:tc>
          <w:tcPr>
            <w:tcW w:w="60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Pr>
                <w:rFonts w:hint="eastAsia" w:ascii="仿宋_GB2312" w:hAnsi="仿宋_GB2312" w:eastAsia="仿宋_GB2312" w:cs="仿宋_GB2312"/>
                <w:color w:val="auto"/>
                <w:kern w:val="2"/>
                <w:sz w:val="20"/>
                <w:szCs w:val="20"/>
                <w:highlight w:val="none"/>
                <w:vertAlign w:val="baseline"/>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
              </w:rPr>
            </w:pPr>
            <w:r>
              <w:rPr>
                <w:rFonts w:hint="eastAsia" w:ascii="仿宋_GB2312" w:hAnsi="仿宋_GB2312" w:eastAsia="仿宋_GB2312" w:cs="仿宋_GB2312"/>
                <w:snapToGrid w:val="0"/>
                <w:sz w:val="20"/>
                <w:szCs w:val="20"/>
                <w:highlight w:val="none"/>
                <w:lang w:val="en-US" w:eastAsia="zh-CN"/>
              </w:rPr>
              <w:t>三江侗族自治县</w:t>
            </w:r>
            <w:r>
              <w:rPr>
                <w:rFonts w:hint="eastAsia" w:ascii="仿宋_GB2312" w:hAnsi="仿宋_GB2312" w:eastAsia="仿宋_GB2312" w:cs="仿宋_GB2312"/>
                <w:snapToGrid w:val="0"/>
                <w:sz w:val="20"/>
                <w:szCs w:val="20"/>
                <w:highlight w:val="none"/>
                <w:lang w:eastAsia="zh-CN"/>
              </w:rPr>
              <w:t>古宜镇</w:t>
            </w:r>
            <w:r>
              <w:rPr>
                <w:rFonts w:hint="eastAsia" w:ascii="仿宋_GB2312" w:hAnsi="仿宋_GB2312" w:eastAsia="仿宋_GB2312" w:cs="仿宋_GB2312"/>
                <w:snapToGrid w:val="0"/>
                <w:sz w:val="20"/>
                <w:szCs w:val="20"/>
                <w:highlight w:val="none"/>
                <w:lang w:val="en-US" w:eastAsia="zh-CN"/>
              </w:rPr>
              <w:t>人民政府</w:t>
            </w: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Style w:val="15"/>
                <w:rFonts w:hint="eastAsia" w:ascii="仿宋_GB2312" w:hAnsi="仿宋_GB2312" w:eastAsia="仿宋_GB2312" w:cs="仿宋_GB2312"/>
                <w:color w:val="auto"/>
                <w:sz w:val="20"/>
                <w:szCs w:val="20"/>
                <w:highlight w:val="none"/>
                <w:lang w:bidi="ar"/>
              </w:rPr>
            </w:pPr>
            <w:r>
              <w:rPr>
                <w:rFonts w:hint="eastAsia" w:ascii="仿宋_GB2312" w:hAnsi="仿宋_GB2312" w:eastAsia="仿宋_GB2312" w:cs="仿宋_GB2312"/>
                <w:snapToGrid w:val="0"/>
                <w:sz w:val="20"/>
                <w:szCs w:val="20"/>
                <w:highlight w:val="none"/>
                <w:lang w:eastAsia="zh-CN"/>
              </w:rPr>
              <w:t>乡村建设综合服务中心</w:t>
            </w:r>
          </w:p>
        </w:tc>
        <w:tc>
          <w:tcPr>
            <w:tcW w:w="2939" w:type="dxa"/>
            <w:vMerge w:val="restart"/>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1.【法律】《中华人民共和国农村土地承包法》第三十六条：承包方可以自主决定依法采取出租（转包）、入股或者其他方式向他人流转土地经营权，并向发包方备案。</w:t>
            </w:r>
          </w:p>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2.【部门规章】《农村土地经营权流转管理办法》第二十九条 ：县级以上地方人民政府对工商企业等社会资本流转土地经营权，依法建立分级资格审查和项目审核制度。审查审核的一般程序如下：</w:t>
            </w:r>
          </w:p>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一）受让主体与承包方就流转面积、期限、价款等进行协商并签订流转意向协议书。涉及未承包到户集体土地等集体资源的，应当按照法定程序经本集体经济组织成员的村民会议三分之二以上成员或者三分之二以上村民代表的同意，并与集体经济组织签订流转意向协议书。</w:t>
            </w:r>
          </w:p>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二）受让主体按照分级审查审核规定，分别向乡（镇）人民政府农村土地承包管理部门或者县级以上地方人民政府农业农村主管（农村经营管理）部门提出申请，并提交流转意向协议书、农业经营能力或者资质证明、流转项目规划等相关材料。</w:t>
            </w:r>
          </w:p>
          <w:p>
            <w:pPr>
              <w:keepNext w:val="0"/>
              <w:keepLines w:val="0"/>
              <w:pageBreakBefore w:val="0"/>
              <w:kinsoku/>
              <w:wordWrap/>
              <w:overflowPunct/>
              <w:topLinePunct w:val="0"/>
              <w:autoSpaceDE/>
              <w:autoSpaceDN/>
              <w:bidi w:val="0"/>
              <w:adjustRightInd w:val="0"/>
              <w:snapToGrid w:val="0"/>
              <w:spacing w:line="300" w:lineRule="exact"/>
              <w:ind w:left="0" w:firstLine="400" w:firstLineChars="200"/>
              <w:textAlignment w:val="center"/>
              <w:rPr>
                <w:rStyle w:val="15"/>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三）县级以上地方人民政府或者乡（镇）人民政府应当依法组织相关职能部门、农村集体经济组织代表、农民代表、专家等就土地用途、受让主体农业经营能力，以及经营项目是否符合粮食生产等产业规划等进行审查审核，并于受理之日起20个工作日内作出审查审核意见。</w:t>
            </w:r>
          </w:p>
          <w:p>
            <w:pPr>
              <w:keepNext w:val="0"/>
              <w:keepLines w:val="0"/>
              <w:pageBreakBefore w:val="0"/>
              <w:kinsoku/>
              <w:wordWrap/>
              <w:overflowPunct/>
              <w:topLinePunct w:val="0"/>
              <w:autoSpaceDE/>
              <w:autoSpaceDN/>
              <w:bidi w:val="0"/>
              <w:adjustRightInd w:val="0"/>
              <w:snapToGrid w:val="0"/>
              <w:spacing w:line="300" w:lineRule="exact"/>
              <w:ind w:left="0" w:leftChars="0" w:firstLine="400" w:firstLineChars="200"/>
              <w:textAlignment w:val="center"/>
              <w:rPr>
                <w:rFonts w:hint="eastAsia" w:ascii="仿宋_GB2312" w:hAnsi="仿宋_GB2312" w:eastAsia="仿宋_GB2312" w:cs="仿宋_GB2312"/>
                <w:color w:val="auto"/>
                <w:kern w:val="2"/>
                <w:sz w:val="20"/>
                <w:szCs w:val="20"/>
                <w:highlight w:val="none"/>
                <w:u w:val="none"/>
                <w:lang w:val="en-US" w:eastAsia="zh-CN" w:bidi="ar"/>
              </w:rPr>
            </w:pPr>
            <w:r>
              <w:rPr>
                <w:rStyle w:val="15"/>
                <w:rFonts w:hint="eastAsia" w:ascii="仿宋_GB2312" w:hAnsi="仿宋_GB2312" w:eastAsia="仿宋_GB2312" w:cs="仿宋_GB2312"/>
                <w:color w:val="auto"/>
                <w:sz w:val="20"/>
                <w:szCs w:val="20"/>
                <w:highlight w:val="none"/>
                <w:lang w:bidi="ar"/>
              </w:rPr>
              <w:t>（四）审查审核通过的，受让主体与承包方签订土地经营权流转合同。未按规定提交审查审核申请或者审查审核未通过的，不得开展土地经营权流转活动。</w:t>
            </w:r>
          </w:p>
        </w:tc>
        <w:tc>
          <w:tcPr>
            <w:tcW w:w="273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1.受理责任：公示应当提交的材料，当场一次性告知补正材料，依法受理或不予受理（不予受理应当告</w:t>
            </w:r>
            <w:r>
              <w:rPr>
                <w:rStyle w:val="14"/>
                <w:rFonts w:hint="eastAsia" w:ascii="仿宋_GB2312" w:hAnsi="仿宋_GB2312" w:eastAsia="仿宋_GB2312" w:cs="仿宋_GB2312"/>
                <w:color w:val="auto"/>
                <w:sz w:val="20"/>
                <w:szCs w:val="20"/>
                <w:highlight w:val="none"/>
                <w:lang w:bidi="ar"/>
              </w:rPr>
              <w:t>知理由）。</w:t>
            </w:r>
          </w:p>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2.审查责任：对提交材料进行审查，审查是否符合条件，提出</w:t>
            </w:r>
            <w:r>
              <w:rPr>
                <w:rStyle w:val="14"/>
                <w:rFonts w:hint="eastAsia" w:ascii="仿宋_GB2312" w:hAnsi="仿宋_GB2312" w:eastAsia="仿宋_GB2312" w:cs="仿宋_GB2312"/>
                <w:color w:val="auto"/>
                <w:sz w:val="20"/>
                <w:szCs w:val="20"/>
                <w:highlight w:val="none"/>
                <w:lang w:bidi="ar"/>
              </w:rPr>
              <w:t>审查意见。</w:t>
            </w:r>
          </w:p>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3.决定责任：作出行政许可或者不予行政许可决定，法定告知（不予许可的应当书面告</w:t>
            </w:r>
            <w:r>
              <w:rPr>
                <w:rStyle w:val="14"/>
                <w:rFonts w:hint="eastAsia" w:ascii="仿宋_GB2312" w:hAnsi="仿宋_GB2312" w:eastAsia="仿宋_GB2312" w:cs="仿宋_GB2312"/>
                <w:color w:val="auto"/>
                <w:sz w:val="20"/>
                <w:szCs w:val="20"/>
                <w:highlight w:val="none"/>
                <w:lang w:bidi="ar"/>
              </w:rPr>
              <w:t>知理由）。</w:t>
            </w:r>
          </w:p>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4.送达责任：制作拖拉机、联合收割机驾驶证，送达并</w:t>
            </w:r>
            <w:r>
              <w:rPr>
                <w:rStyle w:val="14"/>
                <w:rFonts w:hint="eastAsia" w:ascii="仿宋_GB2312" w:hAnsi="仿宋_GB2312" w:eastAsia="仿宋_GB2312" w:cs="仿宋_GB2312"/>
                <w:color w:val="auto"/>
                <w:sz w:val="20"/>
                <w:szCs w:val="20"/>
                <w:highlight w:val="none"/>
                <w:lang w:bidi="ar"/>
              </w:rPr>
              <w:t>公开信息。</w:t>
            </w:r>
          </w:p>
          <w:p>
            <w:pPr>
              <w:keepNext w:val="0"/>
              <w:keepLines w:val="0"/>
              <w:pageBreakBefore w:val="0"/>
              <w:kinsoku/>
              <w:wordWrap/>
              <w:overflowPunct/>
              <w:topLinePunct w:val="0"/>
              <w:autoSpaceDE/>
              <w:autoSpaceDN/>
              <w:bidi w:val="0"/>
              <w:adjustRightInd w:val="0"/>
              <w:snapToGrid w:val="0"/>
              <w:spacing w:line="270" w:lineRule="exact"/>
              <w:ind w:left="0" w:firstLine="400" w:firstLineChars="200"/>
              <w:textAlignment w:val="center"/>
              <w:rPr>
                <w:rStyle w:val="14"/>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5.监管责任：建立实施监督检查的运行机制和管理制度，开展定期和不定期检查，依法采取相关</w:t>
            </w:r>
            <w:r>
              <w:rPr>
                <w:rStyle w:val="14"/>
                <w:rFonts w:hint="eastAsia" w:ascii="仿宋_GB2312" w:hAnsi="仿宋_GB2312" w:eastAsia="仿宋_GB2312" w:cs="仿宋_GB2312"/>
                <w:color w:val="auto"/>
                <w:sz w:val="20"/>
                <w:szCs w:val="20"/>
                <w:highlight w:val="none"/>
                <w:lang w:bidi="ar"/>
              </w:rPr>
              <w:t>处置措施。</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Fonts w:hint="eastAsia" w:ascii="仿宋_GB2312" w:hAnsi="仿宋_GB2312" w:eastAsia="仿宋_GB2312" w:cs="仿宋_GB2312"/>
                <w:color w:val="auto"/>
                <w:kern w:val="2"/>
                <w:sz w:val="20"/>
                <w:szCs w:val="20"/>
                <w:highlight w:val="none"/>
                <w:u w:val="none"/>
                <w:lang w:val="en-US" w:eastAsia="zh-CN" w:bidi="ar"/>
              </w:rPr>
            </w:pPr>
            <w:r>
              <w:rPr>
                <w:rStyle w:val="15"/>
                <w:rFonts w:hint="eastAsia" w:ascii="仿宋_GB2312" w:hAnsi="仿宋_GB2312" w:eastAsia="仿宋_GB2312" w:cs="仿宋_GB2312"/>
                <w:color w:val="auto"/>
                <w:sz w:val="20"/>
                <w:szCs w:val="20"/>
                <w:highlight w:val="none"/>
                <w:lang w:bidi="ar"/>
              </w:rPr>
              <w:t>6.其他法律法规规章文件规定应履</w:t>
            </w:r>
            <w:r>
              <w:rPr>
                <w:rStyle w:val="14"/>
                <w:rFonts w:hint="eastAsia" w:ascii="仿宋_GB2312" w:hAnsi="仿宋_GB2312" w:eastAsia="仿宋_GB2312" w:cs="仿宋_GB2312"/>
                <w:color w:val="auto"/>
                <w:sz w:val="20"/>
                <w:szCs w:val="20"/>
                <w:highlight w:val="none"/>
                <w:lang w:bidi="ar"/>
              </w:rPr>
              <w:t>行的责任。</w:t>
            </w:r>
          </w:p>
        </w:tc>
        <w:tc>
          <w:tcPr>
            <w:tcW w:w="3811"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1.【法律】《中华人民共和国行政许可法》第三十条：行政机关应当将法律、法规、规章规定的有关行政许可的事项、依据、条件、数量、程序、期限以及需要提交的全部材料的目录和申请书示范文本等在办公场所公示。 申请人要求行政机关对公示内容予以说明、解释的，行政机关应当说明、解释，提供准确、可靠的信息。</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2.【法律】《中华人民共和国行政许可法》第三十四条：行政机关应当对申请人提交的申请材料进行审查。申请人提交申请材料齐全、符合法定形式，行政机关能够当场作出决定的，应当场作出书面的行政许可决定。根据法定条件和程序，需要对申请材料实质内容进行核实的，行政机关应当指派两名以上工作人员进行核查。</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3.【法律】《中华人民共和国行政许可法》第三十六条：行政机关对行政许可申请进行审查时，发现行政许可事项直接关系他人重大利益的，应当告知该利害关系人。申请人、利害关系人有权进行陈述和申辩。行政机关应当听取申请人、利害关系人的意见。</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4.【法律】《中华人民共和国行政许可法》第三十七条:行政机关对行政许可申请进行审查后，除当场作出行政许可决定的外，应当在法定期限内按照规定程序作出行政许可决定。</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5.【法律】《中华人民共和国行政许可法》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第四十六条：法律、法规、规章规定实施行政许可应当听证的事项，或者行政机关认为需要听证的其他涉及公共利益的重大行政许可事项，行政机关应当向社会公告，并举行听证。</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6.【法律】《中华人民共和国行政许可法》第四十四条：行政机关作出准予行政许可的决定，应当自作出决定之日起十日内向申请人颁发、送达行政许可证件，或者加贴标签、加盖检验、检测、检疫印章。</w:t>
            </w:r>
          </w:p>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Fonts w:hint="eastAsia" w:ascii="仿宋_GB2312" w:hAnsi="仿宋_GB2312" w:eastAsia="仿宋_GB2312" w:cs="仿宋_GB2312"/>
                <w:color w:val="auto"/>
                <w:kern w:val="2"/>
                <w:sz w:val="20"/>
                <w:szCs w:val="20"/>
                <w:highlight w:val="none"/>
                <w:u w:val="none"/>
                <w:lang w:val="en-US" w:eastAsia="zh-CN" w:bidi="ar"/>
              </w:rPr>
            </w:pPr>
            <w:r>
              <w:rPr>
                <w:rStyle w:val="15"/>
                <w:rFonts w:hint="eastAsia" w:ascii="仿宋_GB2312" w:hAnsi="仿宋_GB2312" w:eastAsia="仿宋_GB2312" w:cs="仿宋_GB2312"/>
                <w:color w:val="auto"/>
                <w:sz w:val="20"/>
                <w:szCs w:val="20"/>
                <w:highlight w:val="none"/>
                <w:lang w:bidi="ar"/>
              </w:rPr>
              <w:t>7.【法律】《中华人民共和国行政许可法》第四十条：行政机关作出的准予行政许可决定，应当予以公开，公众有权查阅。</w:t>
            </w:r>
          </w:p>
        </w:tc>
        <w:tc>
          <w:tcPr>
            <w:tcW w:w="2969"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因不履行或不正确履行行政职责，有下列情形的，行政机关及相关工作人员应承担相应责任：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1. 对符合审批条件的申请不予受理、或者不在法定期限内作出准予行政许可决定的。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2. 对不符合审批条件的申请准予受理、准予行政许可或超越法定职权作出准予行政许可决定的。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3. 不履行或不正确履行行政权力，造成严重后果的。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4. 在审批过程中失职渎职，玩忽职守、滥用职权，为他人谋取不正当利益的。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42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5.腐败行为的。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6.除以上追责情形外，其他违反法律法规规章的行为依法追究相应责任。</w:t>
            </w:r>
          </w:p>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4161"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1.【法律】《中华人民共和国行政许可法》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2.【法律】《中华人民共和国行政许可法》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第七十七条：行政机关不依法履行监督职责或者监督不力，造成严重后果的，由其上级行政机关或者监察机关责令改正，对直接负责的主管人员和其他直接责任人员依法给予行政处分；构成犯罪的，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3.同2.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4.同2。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5-1.【法律】《中华人民共和国行政许可法》第七十三条：行政机关工作人员办理行政许可、实施监督检查，索取或者收受他人财物或者谋取其他利益，构成犯罪的，依法追究刑事责任；尚不构成犯罪的，依法给予行政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5-2.【地方性法规】《广西壮族自治区行政执法责任制实施办法》（2001年1月9日自治区人民政府第26次常务会议审议通过）第三十四条：责任人在行政执法过程中，徇私舞弊、贪赃枉法、收受贿赂以及因其他违法行为构成犯罪的，由司法机关依法追究刑事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405"/>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5-3.【行政法规】《行政机关公务员处分条例》（2007年国务院令第495号公布）第二十三条：有贪污、索贿、受贿、行贿、介绍贿赂、挪用公款。</w:t>
            </w:r>
          </w:p>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i w:val="0"/>
                <w:iCs w:val="0"/>
                <w:caps w:val="0"/>
                <w:color w:val="auto"/>
                <w:spacing w:val="0"/>
                <w:sz w:val="20"/>
                <w:szCs w:val="20"/>
                <w:highlight w:val="none"/>
                <w:shd w:val="clear" w:fill="FFFFFF"/>
              </w:rPr>
              <w:t>法律法规规定的免责情形及自治区党委、自治区人民政府有关文件中明确的免责情形。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4349"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kern w:val="0"/>
                <w:sz w:val="20"/>
                <w:szCs w:val="20"/>
                <w:highlight w:val="none"/>
                <w:lang w:val="en-US" w:eastAsia="zh-CN" w:bidi="ar"/>
              </w:rPr>
            </w:pPr>
          </w:p>
        </w:tc>
        <w:tc>
          <w:tcPr>
            <w:tcW w:w="457" w:type="dxa"/>
            <w:shd w:val="clear" w:color="auto" w:fill="FFFFFF"/>
            <w:noWrap w:val="0"/>
            <w:tcMar>
              <w:top w:w="57" w:type="dxa"/>
              <w:left w:w="57" w:type="dxa"/>
              <w:bottom w:w="57" w:type="dxa"/>
              <w:right w:w="57" w:type="dxa"/>
            </w:tcMar>
            <w:vAlign w:val="center"/>
          </w:tcPr>
          <w:p>
            <w:pPr>
              <w:keepNext w:val="0"/>
              <w:keepLines w:val="0"/>
              <w:pageBreakBefore w:val="0"/>
              <w:widowControl/>
              <w:kinsoku/>
              <w:wordWrap/>
              <w:overflowPunct/>
              <w:topLinePunct w:val="0"/>
              <w:autoSpaceDE/>
              <w:autoSpaceDN/>
              <w:bidi w:val="0"/>
              <w:adjustRightInd w:val="0"/>
              <w:snapToGrid w:val="0"/>
              <w:spacing w:line="300" w:lineRule="exact"/>
              <w:ind w:left="0" w:leftChars="0"/>
              <w:jc w:val="center"/>
              <w:rPr>
                <w:rFonts w:hint="eastAsia" w:ascii="仿宋_GB2312" w:hAnsi="仿宋_GB2312" w:eastAsia="仿宋_GB2312" w:cs="仿宋_GB2312"/>
                <w:snapToGrid w:val="0"/>
                <w:color w:val="auto"/>
                <w:sz w:val="20"/>
                <w:szCs w:val="20"/>
                <w:highlight w:val="none"/>
                <w:lang w:val="en-US" w:eastAsia="zh-CN"/>
              </w:rPr>
            </w:pPr>
          </w:p>
        </w:tc>
        <w:tc>
          <w:tcPr>
            <w:tcW w:w="48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textAlignment w:val="center"/>
              <w:rPr>
                <w:rFonts w:hint="eastAsia" w:ascii="仿宋_GB2312" w:hAnsi="仿宋_GB2312" w:eastAsia="仿宋_GB2312" w:cs="仿宋_GB2312"/>
                <w:color w:val="auto"/>
                <w:kern w:val="0"/>
                <w:sz w:val="20"/>
                <w:szCs w:val="20"/>
                <w:highlight w:val="none"/>
                <w:lang w:eastAsia="zh-CN" w:bidi="ar"/>
              </w:rPr>
            </w:pPr>
          </w:p>
        </w:tc>
        <w:tc>
          <w:tcPr>
            <w:tcW w:w="60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rPr>
                <w:rFonts w:hint="eastAsia" w:ascii="仿宋_GB2312" w:hAnsi="仿宋_GB2312" w:eastAsia="仿宋_GB2312" w:cs="仿宋_GB2312"/>
                <w:color w:val="auto"/>
                <w:kern w:val="2"/>
                <w:sz w:val="20"/>
                <w:szCs w:val="20"/>
                <w:highlight w:val="none"/>
                <w:vertAlign w:val="baseline"/>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sz w:val="20"/>
                <w:szCs w:val="20"/>
                <w:highlight w:val="none"/>
                <w:lang w:val="en-US" w:eastAsia="zh-CN"/>
              </w:rPr>
            </w:pP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highlight w:val="none"/>
              </w:rPr>
            </w:pPr>
          </w:p>
        </w:tc>
        <w:tc>
          <w:tcPr>
            <w:tcW w:w="2939" w:type="dxa"/>
            <w:vMerge w:val="continue"/>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300" w:lineRule="exact"/>
              <w:ind w:left="0" w:leftChars="0" w:firstLine="400" w:firstLineChars="200"/>
              <w:textAlignment w:val="center"/>
              <w:rPr>
                <w:rStyle w:val="15"/>
                <w:rFonts w:hint="eastAsia" w:ascii="仿宋_GB2312" w:hAnsi="仿宋_GB2312" w:eastAsia="仿宋_GB2312" w:cs="仿宋_GB2312"/>
                <w:color w:val="auto"/>
                <w:sz w:val="20"/>
                <w:szCs w:val="20"/>
                <w:highlight w:val="none"/>
                <w:lang w:bidi="ar"/>
              </w:rPr>
            </w:pPr>
          </w:p>
        </w:tc>
        <w:tc>
          <w:tcPr>
            <w:tcW w:w="2730"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highlight w:val="none"/>
                <w:lang w:bidi="ar"/>
              </w:rPr>
            </w:pPr>
          </w:p>
        </w:tc>
        <w:tc>
          <w:tcPr>
            <w:tcW w:w="3811" w:type="dxa"/>
            <w:shd w:val="clear" w:color="auto" w:fill="FFFFFF"/>
            <w:noWrap w:val="0"/>
            <w:tcMar>
              <w:top w:w="57" w:type="dxa"/>
              <w:left w:w="57" w:type="dxa"/>
              <w:bottom w:w="57" w:type="dxa"/>
              <w:right w:w="57" w:type="dxa"/>
            </w:tcMar>
            <w:vAlign w:val="center"/>
          </w:tcPr>
          <w:p>
            <w:pPr>
              <w:keepNext w:val="0"/>
              <w:keepLines w:val="0"/>
              <w:pageBreakBefore w:val="0"/>
              <w:kinsoku/>
              <w:wordWrap/>
              <w:overflowPunct/>
              <w:topLinePunct w:val="0"/>
              <w:autoSpaceDE/>
              <w:autoSpaceDN/>
              <w:bidi w:val="0"/>
              <w:adjustRightInd w:val="0"/>
              <w:snapToGrid w:val="0"/>
              <w:spacing w:line="270" w:lineRule="exact"/>
              <w:ind w:left="0" w:leftChars="0" w:firstLine="400" w:firstLineChars="200"/>
              <w:textAlignment w:val="center"/>
              <w:rPr>
                <w:rStyle w:val="15"/>
                <w:rFonts w:hint="eastAsia" w:ascii="仿宋_GB2312" w:hAnsi="仿宋_GB2312" w:eastAsia="仿宋_GB2312" w:cs="仿宋_GB2312"/>
                <w:color w:val="auto"/>
                <w:sz w:val="20"/>
                <w:szCs w:val="20"/>
                <w:highlight w:val="none"/>
                <w:lang w:bidi="ar"/>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highlight w:val="none"/>
                <w:lang w:eastAsia="zh-CN"/>
              </w:rPr>
            </w:pPr>
          </w:p>
        </w:tc>
        <w:tc>
          <w:tcPr>
            <w:tcW w:w="4161"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highlight w:val="none"/>
                <w:lang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highlight w:val="none"/>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61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sz w:val="20"/>
                <w:szCs w:val="20"/>
                <w:highlight w:val="none"/>
                <w:lang w:eastAsia="zh-CN"/>
              </w:rPr>
            </w:pPr>
            <w:r>
              <w:rPr>
                <w:rFonts w:hint="eastAsia" w:ascii="仿宋_GB2312" w:hAnsi="仿宋_GB2312" w:eastAsia="仿宋_GB2312" w:cs="仿宋_GB2312"/>
                <w:kern w:val="0"/>
                <w:sz w:val="20"/>
                <w:szCs w:val="20"/>
                <w:highlight w:val="none"/>
                <w:lang w:val="en-US" w:eastAsia="zh-CN" w:bidi="ar"/>
              </w:rPr>
              <w:t>6</w:t>
            </w:r>
          </w:p>
        </w:tc>
        <w:tc>
          <w:tcPr>
            <w:tcW w:w="45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highlight w:val="none"/>
                <w:lang w:bidi="ar"/>
              </w:rPr>
              <w:t>行政许可</w:t>
            </w:r>
          </w:p>
        </w:tc>
        <w:tc>
          <w:tcPr>
            <w:tcW w:w="480" w:type="dxa"/>
            <w:shd w:val="clear" w:color="auto" w:fill="FFFFFF"/>
            <w:noWrap w:val="0"/>
            <w:tcMar>
              <w:top w:w="57" w:type="dxa"/>
              <w:left w:w="57" w:type="dxa"/>
              <w:bottom w:w="57" w:type="dxa"/>
              <w:right w:w="57" w:type="dxa"/>
            </w:tcMar>
            <w:vAlign w:val="center"/>
          </w:tcPr>
          <w:p>
            <w:pPr>
              <w:adjustRightInd w:val="0"/>
              <w:snapToGrid w:val="0"/>
              <w:spacing w:line="300" w:lineRule="exact"/>
              <w:textAlignment w:val="center"/>
              <w:rPr>
                <w:rFonts w:hint="eastAsia" w:ascii="仿宋_GB2312" w:hAnsi="仿宋_GB2312" w:eastAsia="仿宋_GB2312" w:cs="仿宋_GB2312"/>
                <w:sz w:val="20"/>
                <w:szCs w:val="20"/>
                <w:highlight w:val="none"/>
              </w:rPr>
            </w:pPr>
            <w:r>
              <w:rPr>
                <w:rFonts w:hint="eastAsia" w:ascii="仿宋_GB2312" w:hAnsi="仿宋_GB2312" w:eastAsia="仿宋_GB2312" w:cs="仿宋_GB2312"/>
                <w:kern w:val="0"/>
                <w:sz w:val="20"/>
                <w:szCs w:val="20"/>
                <w:highlight w:val="none"/>
                <w:lang w:bidi="ar"/>
              </w:rPr>
              <w:t>农村村民宅基地审批</w:t>
            </w:r>
          </w:p>
        </w:tc>
        <w:tc>
          <w:tcPr>
            <w:tcW w:w="60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highlight w:val="none"/>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highlight w:val="none"/>
                <w:lang w:val="en-US" w:eastAsia="zh-CN" w:bidi="ar-SA"/>
              </w:rPr>
            </w:pPr>
            <w:r>
              <w:rPr>
                <w:rFonts w:hint="eastAsia" w:ascii="仿宋_GB2312" w:hAnsi="仿宋_GB2312" w:eastAsia="仿宋_GB2312" w:cs="仿宋_GB2312"/>
                <w:snapToGrid w:val="0"/>
                <w:sz w:val="20"/>
                <w:szCs w:val="20"/>
                <w:highlight w:val="none"/>
                <w:lang w:val="en-US" w:eastAsia="zh-CN"/>
              </w:rPr>
              <w:t>三江侗族自治县</w:t>
            </w:r>
            <w:r>
              <w:rPr>
                <w:rFonts w:hint="eastAsia" w:ascii="仿宋_GB2312" w:hAnsi="仿宋_GB2312" w:eastAsia="仿宋_GB2312" w:cs="仿宋_GB2312"/>
                <w:snapToGrid w:val="0"/>
                <w:sz w:val="20"/>
                <w:szCs w:val="20"/>
                <w:highlight w:val="none"/>
                <w:lang w:eastAsia="zh-CN"/>
              </w:rPr>
              <w:t>古宜镇</w:t>
            </w:r>
            <w:r>
              <w:rPr>
                <w:rFonts w:hint="eastAsia" w:ascii="仿宋_GB2312" w:hAnsi="仿宋_GB2312" w:eastAsia="仿宋_GB2312" w:cs="仿宋_GB2312"/>
                <w:snapToGrid w:val="0"/>
                <w:sz w:val="20"/>
                <w:szCs w:val="20"/>
                <w:highlight w:val="none"/>
                <w:lang w:val="en-US" w:eastAsia="zh-CN"/>
              </w:rPr>
              <w:t>人民政府</w:t>
            </w: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highlight w:val="none"/>
                <w:lang w:val="en-US" w:eastAsia="zh-CN" w:bidi="ar-SA"/>
              </w:rPr>
            </w:pPr>
            <w:r>
              <w:rPr>
                <w:rFonts w:hint="eastAsia" w:ascii="仿宋_GB2312" w:hAnsi="仿宋_GB2312" w:eastAsia="仿宋_GB2312" w:cs="仿宋_GB2312"/>
                <w:snapToGrid w:val="0"/>
                <w:sz w:val="20"/>
                <w:szCs w:val="20"/>
                <w:highlight w:val="none"/>
                <w:lang w:eastAsia="zh-CN"/>
              </w:rPr>
              <w:t>乡村建设综合服务中心</w:t>
            </w:r>
          </w:p>
        </w:tc>
        <w:tc>
          <w:tcPr>
            <w:tcW w:w="2939" w:type="dxa"/>
            <w:shd w:val="clear" w:color="auto" w:fill="FFFFFF"/>
            <w:noWrap w:val="0"/>
            <w:tcMar>
              <w:top w:w="57" w:type="dxa"/>
              <w:left w:w="57" w:type="dxa"/>
              <w:bottom w:w="57" w:type="dxa"/>
              <w:right w:w="57" w:type="dxa"/>
            </w:tcMar>
            <w:vAlign w:val="center"/>
          </w:tcPr>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highlight w:val="none"/>
                <w:lang w:bidi="ar"/>
              </w:rPr>
            </w:pPr>
            <w:r>
              <w:rPr>
                <w:rFonts w:hint="eastAsia" w:ascii="仿宋_GB2312" w:hAnsi="仿宋_GB2312" w:eastAsia="仿宋_GB2312" w:cs="仿宋_GB2312"/>
                <w:kern w:val="0"/>
                <w:sz w:val="20"/>
                <w:szCs w:val="20"/>
                <w:highlight w:val="none"/>
                <w:lang w:bidi="ar"/>
              </w:rPr>
              <w:t>【法律】《中华人民共和国土地管理法》第六十二条：农村村民一户只能拥有一处宅基地，其宅基地的面积不得超过省、自治区、直辖市规</w:t>
            </w:r>
            <w:r>
              <w:rPr>
                <w:rStyle w:val="14"/>
                <w:rFonts w:hint="eastAsia" w:ascii="仿宋_GB2312" w:hAnsi="仿宋_GB2312" w:eastAsia="仿宋_GB2312" w:cs="仿宋_GB2312"/>
                <w:color w:val="auto"/>
                <w:sz w:val="20"/>
                <w:szCs w:val="20"/>
                <w:highlight w:val="none"/>
                <w:lang w:bidi="ar"/>
              </w:rPr>
              <w:t>定</w:t>
            </w:r>
            <w:r>
              <w:rPr>
                <w:rStyle w:val="15"/>
                <w:rFonts w:hint="eastAsia" w:ascii="仿宋_GB2312" w:hAnsi="仿宋_GB2312" w:eastAsia="仿宋_GB2312" w:cs="仿宋_GB2312"/>
                <w:color w:val="auto"/>
                <w:sz w:val="20"/>
                <w:szCs w:val="20"/>
                <w:highlight w:val="none"/>
                <w:lang w:bidi="ar"/>
              </w:rPr>
              <w:t>的标准。</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人均土地少、不能保障一户拥有一处宅基地的地区，县级人民政府在充分尊重农村村民意愿的基础上，可以采取措施，按照省、自治区、直辖市规定的标准保障农村村民实现</w:t>
            </w:r>
            <w:r>
              <w:rPr>
                <w:rStyle w:val="14"/>
                <w:rFonts w:hint="eastAsia" w:ascii="仿宋_GB2312" w:hAnsi="仿宋_GB2312" w:eastAsia="仿宋_GB2312" w:cs="仿宋_GB2312"/>
                <w:color w:val="auto"/>
                <w:sz w:val="20"/>
                <w:szCs w:val="20"/>
                <w:highlight w:val="none"/>
                <w:lang w:bidi="ar"/>
              </w:rPr>
              <w:t>户</w:t>
            </w:r>
            <w:r>
              <w:rPr>
                <w:rStyle w:val="15"/>
                <w:rFonts w:hint="eastAsia" w:ascii="仿宋_GB2312" w:hAnsi="仿宋_GB2312" w:eastAsia="仿宋_GB2312" w:cs="仿宋_GB2312"/>
                <w:color w:val="auto"/>
                <w:sz w:val="20"/>
                <w:szCs w:val="20"/>
                <w:highlight w:val="none"/>
                <w:lang w:bidi="ar"/>
              </w:rPr>
              <w:t>有所居。</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农村村民建住宅，应当符合乡（镇）土地利用总体规划、村庄规划，不得占用永久基本农田，并尽量使用原有的宅基地和村内空闲地。编制乡（镇）土地利用总体规划、村庄规划应当统筹并合理安排宅基地用地，改善农村村民居住环</w:t>
            </w:r>
            <w:r>
              <w:rPr>
                <w:rStyle w:val="14"/>
                <w:rFonts w:hint="eastAsia" w:ascii="仿宋_GB2312" w:hAnsi="仿宋_GB2312" w:eastAsia="仿宋_GB2312" w:cs="仿宋_GB2312"/>
                <w:color w:val="auto"/>
                <w:sz w:val="20"/>
                <w:szCs w:val="20"/>
                <w:highlight w:val="none"/>
                <w:lang w:bidi="ar"/>
              </w:rPr>
              <w:t>境</w:t>
            </w:r>
            <w:r>
              <w:rPr>
                <w:rStyle w:val="15"/>
                <w:rFonts w:hint="eastAsia" w:ascii="仿宋_GB2312" w:hAnsi="仿宋_GB2312" w:eastAsia="仿宋_GB2312" w:cs="仿宋_GB2312"/>
                <w:color w:val="auto"/>
                <w:sz w:val="20"/>
                <w:szCs w:val="20"/>
                <w:highlight w:val="none"/>
                <w:lang w:bidi="ar"/>
              </w:rPr>
              <w:t>和条件。</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农村村民住宅用地，由乡（镇）人民政府审核批准；其中，涉及占用农用地的，依照本法第四十四条的规定办理</w:t>
            </w:r>
            <w:r>
              <w:rPr>
                <w:rStyle w:val="14"/>
                <w:rFonts w:hint="eastAsia" w:ascii="仿宋_GB2312" w:hAnsi="仿宋_GB2312" w:eastAsia="仿宋_GB2312" w:cs="仿宋_GB2312"/>
                <w:color w:val="auto"/>
                <w:sz w:val="20"/>
                <w:szCs w:val="20"/>
                <w:highlight w:val="none"/>
                <w:lang w:bidi="ar"/>
              </w:rPr>
              <w:t>审</w:t>
            </w:r>
            <w:r>
              <w:rPr>
                <w:rStyle w:val="15"/>
                <w:rFonts w:hint="eastAsia" w:ascii="仿宋_GB2312" w:hAnsi="仿宋_GB2312" w:eastAsia="仿宋_GB2312" w:cs="仿宋_GB2312"/>
                <w:color w:val="auto"/>
                <w:sz w:val="20"/>
                <w:szCs w:val="20"/>
                <w:highlight w:val="none"/>
                <w:lang w:bidi="ar"/>
              </w:rPr>
              <w:t>批手续。</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农村村民出卖、出租、赠与住宅后，再申请宅基地的，</w:t>
            </w:r>
            <w:r>
              <w:rPr>
                <w:rStyle w:val="14"/>
                <w:rFonts w:hint="eastAsia" w:ascii="仿宋_GB2312" w:hAnsi="仿宋_GB2312" w:eastAsia="仿宋_GB2312" w:cs="仿宋_GB2312"/>
                <w:color w:val="auto"/>
                <w:sz w:val="20"/>
                <w:szCs w:val="20"/>
                <w:highlight w:val="none"/>
                <w:lang w:bidi="ar"/>
              </w:rPr>
              <w:t>不</w:t>
            </w:r>
            <w:r>
              <w:rPr>
                <w:rStyle w:val="15"/>
                <w:rFonts w:hint="eastAsia" w:ascii="仿宋_GB2312" w:hAnsi="仿宋_GB2312" w:eastAsia="仿宋_GB2312" w:cs="仿宋_GB2312"/>
                <w:color w:val="auto"/>
                <w:sz w:val="20"/>
                <w:szCs w:val="20"/>
                <w:highlight w:val="none"/>
                <w:lang w:bidi="ar"/>
              </w:rPr>
              <w:t>予批准。</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国家允许进城落户的农村村民依法自愿有偿退出宅基地，鼓励农村集体经济组织及其成员盘活利用闲置宅基地和</w:t>
            </w:r>
            <w:r>
              <w:rPr>
                <w:rStyle w:val="14"/>
                <w:rFonts w:hint="eastAsia" w:ascii="仿宋_GB2312" w:hAnsi="仿宋_GB2312" w:eastAsia="仿宋_GB2312" w:cs="仿宋_GB2312"/>
                <w:color w:val="auto"/>
                <w:sz w:val="20"/>
                <w:szCs w:val="20"/>
                <w:highlight w:val="none"/>
                <w:lang w:bidi="ar"/>
              </w:rPr>
              <w:t>闲</w:t>
            </w:r>
            <w:r>
              <w:rPr>
                <w:rStyle w:val="15"/>
                <w:rFonts w:hint="eastAsia" w:ascii="仿宋_GB2312" w:hAnsi="仿宋_GB2312" w:eastAsia="仿宋_GB2312" w:cs="仿宋_GB2312"/>
                <w:color w:val="auto"/>
                <w:sz w:val="20"/>
                <w:szCs w:val="20"/>
                <w:highlight w:val="none"/>
                <w:lang w:bidi="ar"/>
              </w:rPr>
              <w:t>置住宅。</w:t>
            </w:r>
          </w:p>
          <w:p>
            <w:pPr>
              <w:adjustRightInd w:val="0"/>
              <w:snapToGrid w:val="0"/>
              <w:spacing w:line="300" w:lineRule="exact"/>
              <w:ind w:firstLine="400" w:firstLineChars="200"/>
              <w:textAlignment w:val="center"/>
              <w:rPr>
                <w:rFonts w:hint="eastAsia" w:ascii="仿宋_GB2312" w:hAnsi="仿宋_GB2312" w:eastAsia="仿宋_GB2312" w:cs="仿宋_GB2312"/>
                <w:sz w:val="20"/>
                <w:szCs w:val="20"/>
                <w:highlight w:val="none"/>
              </w:rPr>
            </w:pPr>
            <w:r>
              <w:rPr>
                <w:rStyle w:val="15"/>
                <w:rFonts w:hint="eastAsia" w:ascii="仿宋_GB2312" w:hAnsi="仿宋_GB2312" w:eastAsia="仿宋_GB2312" w:cs="仿宋_GB2312"/>
                <w:color w:val="auto"/>
                <w:sz w:val="20"/>
                <w:szCs w:val="20"/>
                <w:highlight w:val="none"/>
                <w:lang w:bidi="ar"/>
              </w:rPr>
              <w:t>国务院农业农村主管部门负责全国农村宅基地改革和管理有关工作。</w:t>
            </w:r>
          </w:p>
        </w:tc>
        <w:tc>
          <w:tcPr>
            <w:tcW w:w="2730" w:type="dxa"/>
            <w:shd w:val="clear" w:color="auto" w:fill="FFFFFF"/>
            <w:noWrap w:val="0"/>
            <w:tcMar>
              <w:top w:w="57" w:type="dxa"/>
              <w:left w:w="57" w:type="dxa"/>
              <w:bottom w:w="57" w:type="dxa"/>
              <w:right w:w="57" w:type="dxa"/>
            </w:tcMar>
            <w:vAlign w:val="center"/>
          </w:tcPr>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1.受理责任：公示应当提交的材料，一次性告知补正材料，依法受理或不予受理（不予受理应当告</w:t>
            </w:r>
            <w:r>
              <w:rPr>
                <w:rStyle w:val="14"/>
                <w:rFonts w:hint="eastAsia" w:ascii="仿宋_GB2312" w:hAnsi="仿宋_GB2312" w:eastAsia="仿宋_GB2312" w:cs="仿宋_GB2312"/>
                <w:color w:val="auto"/>
                <w:sz w:val="20"/>
                <w:szCs w:val="20"/>
                <w:highlight w:val="none"/>
                <w:lang w:bidi="ar"/>
              </w:rPr>
              <w:t>知理由）。</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2.审查责任：审查申请材料，组织</w:t>
            </w:r>
            <w:r>
              <w:rPr>
                <w:rStyle w:val="14"/>
                <w:rFonts w:hint="eastAsia" w:ascii="仿宋_GB2312" w:hAnsi="仿宋_GB2312" w:eastAsia="仿宋_GB2312" w:cs="仿宋_GB2312"/>
                <w:color w:val="auto"/>
                <w:sz w:val="20"/>
                <w:szCs w:val="20"/>
                <w:highlight w:val="none"/>
                <w:lang w:bidi="ar"/>
              </w:rPr>
              <w:t>现场检查。</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3.决定责任：作出行政许可或者不予行政许可决定，法定告知（不予许可的应当书面告</w:t>
            </w:r>
            <w:r>
              <w:rPr>
                <w:rStyle w:val="14"/>
                <w:rFonts w:hint="eastAsia" w:ascii="仿宋_GB2312" w:hAnsi="仿宋_GB2312" w:eastAsia="仿宋_GB2312" w:cs="仿宋_GB2312"/>
                <w:color w:val="auto"/>
                <w:sz w:val="20"/>
                <w:szCs w:val="20"/>
                <w:highlight w:val="none"/>
                <w:lang w:bidi="ar"/>
              </w:rPr>
              <w:t>知理由）。</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4.送达责任：准予许可的，制发许可证书或批件，送达并</w:t>
            </w:r>
            <w:r>
              <w:rPr>
                <w:rStyle w:val="14"/>
                <w:rFonts w:hint="eastAsia" w:ascii="仿宋_GB2312" w:hAnsi="仿宋_GB2312" w:eastAsia="仿宋_GB2312" w:cs="仿宋_GB2312"/>
                <w:color w:val="auto"/>
                <w:sz w:val="20"/>
                <w:szCs w:val="20"/>
                <w:highlight w:val="none"/>
                <w:lang w:bidi="ar"/>
              </w:rPr>
              <w:t>信息公开。</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5.监管责任：建立实施监督检查的运行机制和管理制度，开展定期和不定期检查，依法采取相关</w:t>
            </w:r>
            <w:r>
              <w:rPr>
                <w:rStyle w:val="14"/>
                <w:rFonts w:hint="eastAsia" w:ascii="仿宋_GB2312" w:hAnsi="仿宋_GB2312" w:eastAsia="仿宋_GB2312" w:cs="仿宋_GB2312"/>
                <w:color w:val="auto"/>
                <w:sz w:val="20"/>
                <w:szCs w:val="20"/>
                <w:highlight w:val="none"/>
                <w:lang w:bidi="ar"/>
              </w:rPr>
              <w:t>处置措施。</w:t>
            </w:r>
          </w:p>
          <w:p>
            <w:pPr>
              <w:adjustRightInd w:val="0"/>
              <w:snapToGrid w:val="0"/>
              <w:spacing w:line="300" w:lineRule="exact"/>
              <w:ind w:firstLine="400" w:firstLineChars="200"/>
              <w:textAlignment w:val="center"/>
              <w:rPr>
                <w:rFonts w:hint="eastAsia" w:ascii="仿宋_GB2312" w:hAnsi="仿宋_GB2312" w:eastAsia="仿宋_GB2312" w:cs="仿宋_GB2312"/>
                <w:sz w:val="20"/>
                <w:szCs w:val="20"/>
                <w:highlight w:val="none"/>
              </w:rPr>
            </w:pPr>
            <w:r>
              <w:rPr>
                <w:rStyle w:val="15"/>
                <w:rFonts w:hint="eastAsia" w:ascii="仿宋_GB2312" w:hAnsi="仿宋_GB2312" w:eastAsia="仿宋_GB2312" w:cs="仿宋_GB2312"/>
                <w:color w:val="auto"/>
                <w:sz w:val="20"/>
                <w:szCs w:val="20"/>
                <w:highlight w:val="none"/>
                <w:lang w:bidi="ar"/>
              </w:rPr>
              <w:t>6.其他法律法规规章文件规定应履行的责任。</w:t>
            </w:r>
          </w:p>
        </w:tc>
        <w:tc>
          <w:tcPr>
            <w:tcW w:w="3811" w:type="dxa"/>
            <w:shd w:val="clear" w:color="auto" w:fill="FFFFFF"/>
            <w:noWrap w:val="0"/>
            <w:tcMar>
              <w:top w:w="57" w:type="dxa"/>
              <w:left w:w="57" w:type="dxa"/>
              <w:bottom w:w="57" w:type="dxa"/>
              <w:right w:w="57" w:type="dxa"/>
            </w:tcMar>
            <w:vAlign w:val="center"/>
          </w:tcPr>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1.【法律】《中华人民共和国行政许可法》</w:t>
            </w:r>
            <w:r>
              <w:rPr>
                <w:rStyle w:val="14"/>
                <w:rFonts w:hint="eastAsia" w:ascii="仿宋_GB2312" w:hAnsi="仿宋_GB2312" w:eastAsia="仿宋_GB2312" w:cs="仿宋_GB2312"/>
                <w:color w:val="auto"/>
                <w:sz w:val="20"/>
                <w:szCs w:val="20"/>
                <w:highlight w:val="none"/>
                <w:lang w:bidi="ar"/>
              </w:rPr>
              <w:t>第三</w:t>
            </w:r>
            <w:r>
              <w:rPr>
                <w:rStyle w:val="15"/>
                <w:rFonts w:hint="eastAsia" w:ascii="仿宋_GB2312" w:hAnsi="仿宋_GB2312" w:eastAsia="仿宋_GB2312" w:cs="仿宋_GB2312"/>
                <w:color w:val="auto"/>
                <w:sz w:val="20"/>
                <w:szCs w:val="20"/>
                <w:highlight w:val="none"/>
                <w:lang w:bidi="ar"/>
              </w:rPr>
              <w:t>十二条：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w:t>
            </w:r>
            <w:r>
              <w:rPr>
                <w:rStyle w:val="14"/>
                <w:rFonts w:hint="eastAsia" w:ascii="仿宋_GB2312" w:hAnsi="仿宋_GB2312" w:eastAsia="仿宋_GB2312" w:cs="仿宋_GB2312"/>
                <w:color w:val="auto"/>
                <w:sz w:val="20"/>
                <w:szCs w:val="20"/>
                <w:highlight w:val="none"/>
                <w:lang w:bidi="ar"/>
              </w:rPr>
              <w:t>书面凭证。</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2.【法律】《中华人民共和国行政许可法》</w:t>
            </w:r>
            <w:r>
              <w:rPr>
                <w:rStyle w:val="14"/>
                <w:rFonts w:hint="eastAsia" w:ascii="仿宋_GB2312" w:hAnsi="仿宋_GB2312" w:eastAsia="仿宋_GB2312" w:cs="仿宋_GB2312"/>
                <w:color w:val="auto"/>
                <w:sz w:val="20"/>
                <w:szCs w:val="20"/>
                <w:highlight w:val="none"/>
                <w:lang w:bidi="ar"/>
              </w:rPr>
              <w:t>第三</w:t>
            </w:r>
            <w:r>
              <w:rPr>
                <w:rStyle w:val="15"/>
                <w:rFonts w:hint="eastAsia" w:ascii="仿宋_GB2312" w:hAnsi="仿宋_GB2312" w:eastAsia="仿宋_GB2312" w:cs="仿宋_GB2312"/>
                <w:color w:val="auto"/>
                <w:sz w:val="20"/>
                <w:szCs w:val="20"/>
                <w:highlight w:val="none"/>
                <w:lang w:bidi="ar"/>
              </w:rPr>
              <w:t>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w:t>
            </w:r>
            <w:r>
              <w:rPr>
                <w:rStyle w:val="14"/>
                <w:rFonts w:hint="eastAsia" w:ascii="仿宋_GB2312" w:hAnsi="仿宋_GB2312" w:eastAsia="仿宋_GB2312" w:cs="仿宋_GB2312"/>
                <w:color w:val="auto"/>
                <w:sz w:val="20"/>
                <w:szCs w:val="20"/>
                <w:highlight w:val="none"/>
                <w:lang w:bidi="ar"/>
              </w:rPr>
              <w:t>进行核查。</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3.【法律】《中华人民共和国行政许可法》</w:t>
            </w:r>
            <w:r>
              <w:rPr>
                <w:rStyle w:val="14"/>
                <w:rFonts w:hint="eastAsia" w:ascii="仿宋_GB2312" w:hAnsi="仿宋_GB2312" w:eastAsia="仿宋_GB2312" w:cs="仿宋_GB2312"/>
                <w:color w:val="auto"/>
                <w:sz w:val="20"/>
                <w:szCs w:val="20"/>
                <w:highlight w:val="none"/>
                <w:lang w:bidi="ar"/>
              </w:rPr>
              <w:t>第三</w:t>
            </w:r>
            <w:r>
              <w:rPr>
                <w:rStyle w:val="15"/>
                <w:rFonts w:hint="eastAsia" w:ascii="仿宋_GB2312" w:hAnsi="仿宋_GB2312" w:eastAsia="仿宋_GB2312" w:cs="仿宋_GB2312"/>
                <w:color w:val="auto"/>
                <w:sz w:val="20"/>
                <w:szCs w:val="20"/>
                <w:highlight w:val="none"/>
                <w:lang w:bidi="ar"/>
              </w:rPr>
              <w:t>十七条：行政机关对行政许可申请进行审查后，除当场作出行政许可决定的外，应当在法定期限内按照规定程序作出行政</w:t>
            </w:r>
            <w:r>
              <w:rPr>
                <w:rStyle w:val="14"/>
                <w:rFonts w:hint="eastAsia" w:ascii="仿宋_GB2312" w:hAnsi="仿宋_GB2312" w:eastAsia="仿宋_GB2312" w:cs="仿宋_GB2312"/>
                <w:color w:val="auto"/>
                <w:sz w:val="20"/>
                <w:szCs w:val="20"/>
                <w:highlight w:val="none"/>
                <w:lang w:bidi="ar"/>
              </w:rPr>
              <w:t>许可决</w:t>
            </w:r>
            <w:r>
              <w:rPr>
                <w:rStyle w:val="15"/>
                <w:rFonts w:hint="eastAsia" w:ascii="仿宋_GB2312" w:hAnsi="仿宋_GB2312" w:eastAsia="仿宋_GB2312" w:cs="仿宋_GB2312"/>
                <w:color w:val="auto"/>
                <w:sz w:val="20"/>
                <w:szCs w:val="20"/>
                <w:highlight w:val="none"/>
                <w:lang w:bidi="ar"/>
              </w:rPr>
              <w:t>定。</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highlight w:val="none"/>
                <w:lang w:bidi="ar"/>
              </w:rPr>
            </w:pPr>
            <w:r>
              <w:rPr>
                <w:rStyle w:val="14"/>
                <w:rFonts w:hint="eastAsia" w:ascii="仿宋_GB2312" w:hAnsi="仿宋_GB2312" w:eastAsia="仿宋_GB2312" w:cs="仿宋_GB2312"/>
                <w:color w:val="auto"/>
                <w:sz w:val="20"/>
                <w:szCs w:val="20"/>
                <w:highlight w:val="none"/>
                <w:lang w:bidi="ar"/>
              </w:rPr>
              <w:t>第三</w:t>
            </w:r>
            <w:r>
              <w:rPr>
                <w:rStyle w:val="15"/>
                <w:rFonts w:hint="eastAsia" w:ascii="仿宋_GB2312" w:hAnsi="仿宋_GB2312" w:eastAsia="仿宋_GB2312" w:cs="仿宋_GB2312"/>
                <w:color w:val="auto"/>
                <w:sz w:val="20"/>
                <w:szCs w:val="20"/>
                <w:highlight w:val="none"/>
                <w:lang w:bidi="ar"/>
              </w:rPr>
              <w:t>十八条：申请人的申请符合法定条件、标准的，行政机关应当依法作出准予行政许可的书面决定。行政机关依法作出不予行政许可的书面决定的，应当说明理由，并告知申请人享有依法申请行政复议或者提起行政诉</w:t>
            </w:r>
            <w:r>
              <w:rPr>
                <w:rStyle w:val="14"/>
                <w:rFonts w:hint="eastAsia" w:ascii="仿宋_GB2312" w:hAnsi="仿宋_GB2312" w:eastAsia="仿宋_GB2312" w:cs="仿宋_GB2312"/>
                <w:color w:val="auto"/>
                <w:sz w:val="20"/>
                <w:szCs w:val="20"/>
                <w:highlight w:val="none"/>
                <w:lang w:bidi="ar"/>
              </w:rPr>
              <w:t>讼的权利。</w:t>
            </w:r>
          </w:p>
          <w:p>
            <w:pPr>
              <w:adjustRightInd w:val="0"/>
              <w:snapToGrid w:val="0"/>
              <w:spacing w:line="300" w:lineRule="exact"/>
              <w:ind w:firstLine="400" w:firstLineChars="200"/>
              <w:textAlignment w:val="center"/>
              <w:rPr>
                <w:rStyle w:val="14"/>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4.【法律】《中华人民共和国行政许可法》</w:t>
            </w:r>
            <w:r>
              <w:rPr>
                <w:rStyle w:val="14"/>
                <w:rFonts w:hint="eastAsia" w:ascii="仿宋_GB2312" w:hAnsi="仿宋_GB2312" w:eastAsia="仿宋_GB2312" w:cs="仿宋_GB2312"/>
                <w:color w:val="auto"/>
                <w:sz w:val="20"/>
                <w:szCs w:val="20"/>
                <w:highlight w:val="none"/>
                <w:lang w:bidi="ar"/>
              </w:rPr>
              <w:t>第四</w:t>
            </w:r>
            <w:r>
              <w:rPr>
                <w:rStyle w:val="15"/>
                <w:rFonts w:hint="eastAsia" w:ascii="仿宋_GB2312" w:hAnsi="仿宋_GB2312" w:eastAsia="仿宋_GB2312" w:cs="仿宋_GB2312"/>
                <w:color w:val="auto"/>
                <w:sz w:val="20"/>
                <w:szCs w:val="20"/>
                <w:highlight w:val="none"/>
                <w:lang w:bidi="ar"/>
              </w:rPr>
              <w:t>十四条：行政机关作出准予行政许可的决定，应当自作出决定之日起十日内向申请人颁发、送达行政许可证件，或者加贴标签、加盖检验、检测、</w:t>
            </w:r>
            <w:r>
              <w:rPr>
                <w:rStyle w:val="14"/>
                <w:rFonts w:hint="eastAsia" w:ascii="仿宋_GB2312" w:hAnsi="仿宋_GB2312" w:eastAsia="仿宋_GB2312" w:cs="仿宋_GB2312"/>
                <w:color w:val="auto"/>
                <w:sz w:val="20"/>
                <w:szCs w:val="20"/>
                <w:highlight w:val="none"/>
                <w:lang w:bidi="ar"/>
              </w:rPr>
              <w:t>检疫印章。</w:t>
            </w:r>
          </w:p>
          <w:p>
            <w:pPr>
              <w:adjustRightInd w:val="0"/>
              <w:snapToGrid w:val="0"/>
              <w:spacing w:line="300" w:lineRule="exact"/>
              <w:ind w:firstLine="400" w:firstLineChars="200"/>
              <w:textAlignment w:val="center"/>
              <w:rPr>
                <w:rStyle w:val="15"/>
                <w:rFonts w:hint="eastAsia" w:ascii="仿宋_GB2312" w:hAnsi="仿宋_GB2312" w:eastAsia="仿宋_GB2312" w:cs="仿宋_GB2312"/>
                <w:color w:val="auto"/>
                <w:sz w:val="20"/>
                <w:szCs w:val="20"/>
                <w:highlight w:val="none"/>
                <w:lang w:bidi="ar"/>
              </w:rPr>
            </w:pPr>
            <w:r>
              <w:rPr>
                <w:rStyle w:val="15"/>
                <w:rFonts w:hint="eastAsia" w:ascii="仿宋_GB2312" w:hAnsi="仿宋_GB2312" w:eastAsia="仿宋_GB2312" w:cs="仿宋_GB2312"/>
                <w:color w:val="auto"/>
                <w:sz w:val="20"/>
                <w:szCs w:val="20"/>
                <w:highlight w:val="none"/>
                <w:lang w:bidi="ar"/>
              </w:rPr>
              <w:t>5.【法律】《中华人民共和国土地管理法》第七十八条：农村村民未经批准或者采取欺骗手段骗取批准，非法占用土地建住宅的，由县级以上人民政府农业农村主管部门责令退还非法占用的土地，限期拆除在非法占用的土地上新</w:t>
            </w:r>
            <w:r>
              <w:rPr>
                <w:rStyle w:val="14"/>
                <w:rFonts w:hint="eastAsia" w:ascii="仿宋_GB2312" w:hAnsi="仿宋_GB2312" w:eastAsia="仿宋_GB2312" w:cs="仿宋_GB2312"/>
                <w:color w:val="auto"/>
                <w:sz w:val="20"/>
                <w:szCs w:val="20"/>
                <w:highlight w:val="none"/>
                <w:lang w:bidi="ar"/>
              </w:rPr>
              <w:t>建</w:t>
            </w:r>
            <w:r>
              <w:rPr>
                <w:rStyle w:val="15"/>
                <w:rFonts w:hint="eastAsia" w:ascii="仿宋_GB2312" w:hAnsi="仿宋_GB2312" w:eastAsia="仿宋_GB2312" w:cs="仿宋_GB2312"/>
                <w:color w:val="auto"/>
                <w:sz w:val="20"/>
                <w:szCs w:val="20"/>
                <w:highlight w:val="none"/>
                <w:lang w:bidi="ar"/>
              </w:rPr>
              <w:t>的房屋。</w:t>
            </w:r>
          </w:p>
          <w:p>
            <w:pPr>
              <w:adjustRightInd w:val="0"/>
              <w:snapToGrid w:val="0"/>
              <w:spacing w:line="300" w:lineRule="exact"/>
              <w:ind w:firstLine="400" w:firstLineChars="200"/>
              <w:textAlignment w:val="center"/>
              <w:rPr>
                <w:rFonts w:hint="eastAsia" w:ascii="仿宋_GB2312" w:hAnsi="仿宋_GB2312" w:eastAsia="仿宋_GB2312" w:cs="仿宋_GB2312"/>
                <w:sz w:val="20"/>
                <w:szCs w:val="20"/>
                <w:highlight w:val="none"/>
              </w:rPr>
            </w:pPr>
            <w:r>
              <w:rPr>
                <w:rStyle w:val="15"/>
                <w:rFonts w:hint="eastAsia" w:ascii="仿宋_GB2312" w:hAnsi="仿宋_GB2312" w:eastAsia="仿宋_GB2312" w:cs="仿宋_GB2312"/>
                <w:color w:val="auto"/>
                <w:sz w:val="20"/>
                <w:szCs w:val="20"/>
                <w:highlight w:val="none"/>
                <w:lang w:bidi="ar"/>
              </w:rPr>
              <w:t>超过省、自治区、直辖市规定的标准，多占的土地以非法占用</w:t>
            </w:r>
            <w:r>
              <w:rPr>
                <w:rStyle w:val="14"/>
                <w:rFonts w:hint="eastAsia" w:ascii="仿宋_GB2312" w:hAnsi="仿宋_GB2312" w:eastAsia="仿宋_GB2312" w:cs="仿宋_GB2312"/>
                <w:color w:val="auto"/>
                <w:sz w:val="20"/>
                <w:szCs w:val="20"/>
                <w:highlight w:val="none"/>
                <w:lang w:bidi="ar"/>
              </w:rPr>
              <w:t>土地论处。</w:t>
            </w:r>
          </w:p>
        </w:tc>
        <w:tc>
          <w:tcPr>
            <w:tcW w:w="2969"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color w:val="auto"/>
                <w:sz w:val="20"/>
                <w:szCs w:val="20"/>
                <w:highlight w:val="none"/>
                <w:lang w:eastAsia="zh-CN"/>
              </w:rPr>
              <w:t xml:space="preserve"> </w:t>
            </w:r>
            <w:r>
              <w:rPr>
                <w:rFonts w:hint="eastAsia" w:ascii="仿宋_GB2312" w:hAnsi="仿宋_GB2312" w:eastAsia="仿宋_GB2312" w:cs="仿宋_GB2312"/>
                <w:i w:val="0"/>
                <w:iCs w:val="0"/>
                <w:caps w:val="0"/>
                <w:color w:val="auto"/>
                <w:spacing w:val="0"/>
                <w:sz w:val="20"/>
                <w:szCs w:val="20"/>
                <w:highlight w:val="none"/>
                <w:shd w:val="clear" w:fill="FFFFFF"/>
              </w:rPr>
              <w:t>因不履行或不正确履行职责，有下列情形的，行政机关及相关工作人员应承担相应责任：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    1.对符合申报要求的申请不予受理、许可的；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    2.将不符合规定条件的予以审批的；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    3.超过法定期限或者擅自增设、变更审批程序或审批条件实施行政许可的；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    4.违反法定程序实施评审，造成经济损失或构成犯罪的；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    5.在履行职责过程中滥用职权、玩忽职守、徇私舞弊的；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    6.在审批过程中发生腐败行为的；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    7. 除以上追责情形外，其他违反法律法规规章的行为依法追求相应责任。</w:t>
            </w:r>
          </w:p>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4161"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2.【法律】《中华人民共和国行政许可法》（2003年主席令第七号公布）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    3.【法规】《行政机关公务员处分条例》（2007年4月4日中华人民共和国国务院令第495号公布）第二十一条　有下列行为之一的，给予警告或者记过处分；情节较重的，给予记大过或者降级处分；情节严重的，给予撤职处分：（一）在行政许可工作中违反法定权限、条件和程序设定或者实施行政许可的；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    4.同2。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    5.【法律】《公务员法》（２００５年４月２７日中华人民共和国主席令第三十五号发布）（２００５年４月２７日中华人民共和国主席令第三十五号发布）第一百零四条 公务员主管部门的工作人员，违反本法规定，滥用职权、玩忽职守、徇私舞弊，构成犯罪的，依法追究刑事责任；尚不构成犯罪的，给予处分。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    6.【法规】《行政机关公务员处分条例》（2007年4月4日中华人民共和国国务院令第495号公布）第二十三条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7.同1.</w:t>
            </w:r>
          </w:p>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i w:val="0"/>
                <w:iCs w:val="0"/>
                <w:caps w:val="0"/>
                <w:color w:val="auto"/>
                <w:spacing w:val="0"/>
                <w:sz w:val="20"/>
                <w:szCs w:val="20"/>
                <w:highlight w:val="none"/>
                <w:shd w:val="clear" w:fill="FFFFFF"/>
              </w:rPr>
              <w:t>法律法规规定的免责情形及自治区党委、自治区人民政府有关文件中明确的免责情形。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211"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kern w:val="0"/>
                <w:sz w:val="20"/>
                <w:szCs w:val="20"/>
                <w:highlight w:val="none"/>
                <w:lang w:val="en-US" w:eastAsia="zh-CN" w:bidi="ar"/>
              </w:rPr>
            </w:pPr>
            <w:r>
              <w:rPr>
                <w:rFonts w:hint="eastAsia" w:ascii="仿宋_GB2312" w:hAnsi="仿宋_GB2312" w:eastAsia="仿宋_GB2312" w:cs="仿宋_GB2312"/>
                <w:kern w:val="0"/>
                <w:sz w:val="20"/>
                <w:szCs w:val="20"/>
                <w:highlight w:val="none"/>
                <w:lang w:val="en-US" w:eastAsia="zh-CN" w:bidi="ar"/>
              </w:rPr>
              <w:t>7</w:t>
            </w: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kern w:val="2"/>
                <w:sz w:val="20"/>
                <w:szCs w:val="20"/>
                <w:highlight w:val="none"/>
                <w:lang w:val="en-US" w:eastAsia="zh-CN" w:bidi="ar-SA"/>
              </w:rPr>
            </w:pPr>
            <w:r>
              <w:rPr>
                <w:rFonts w:hint="eastAsia" w:ascii="仿宋_GB2312" w:hAnsi="仿宋_GB2312" w:eastAsia="仿宋_GB2312" w:cs="仿宋_GB2312"/>
                <w:b w:val="0"/>
                <w:bCs w:val="0"/>
                <w:color w:val="000000"/>
                <w:sz w:val="20"/>
                <w:szCs w:val="20"/>
                <w:highlight w:val="none"/>
                <w:lang w:eastAsia="zh-CN"/>
              </w:rPr>
              <w:t>行政许可</w:t>
            </w: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kern w:val="2"/>
                <w:sz w:val="20"/>
                <w:szCs w:val="20"/>
                <w:highlight w:val="none"/>
                <w:lang w:val="en-US" w:eastAsia="zh-CN" w:bidi="ar-SA"/>
              </w:rPr>
            </w:pPr>
            <w:r>
              <w:rPr>
                <w:rFonts w:hint="eastAsia" w:ascii="仿宋_GB2312" w:hAnsi="仿宋_GB2312" w:eastAsia="仿宋_GB2312" w:cs="仿宋_GB2312"/>
                <w:b w:val="0"/>
                <w:bCs w:val="0"/>
                <w:color w:val="000000"/>
                <w:sz w:val="20"/>
                <w:szCs w:val="20"/>
                <w:highlight w:val="none"/>
              </w:rPr>
              <w:t>在村庄、集镇规划区内公共场所修建临时建筑等设施审批</w:t>
            </w: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000000"/>
                <w:kern w:val="2"/>
                <w:sz w:val="20"/>
                <w:szCs w:val="20"/>
                <w:highlight w:val="none"/>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highlight w:val="none"/>
                <w:lang w:val="en-US" w:eastAsia="zh-CN" w:bidi="ar-SA"/>
              </w:rPr>
            </w:pPr>
            <w:r>
              <w:rPr>
                <w:rFonts w:hint="eastAsia" w:ascii="仿宋_GB2312" w:hAnsi="仿宋_GB2312" w:eastAsia="仿宋_GB2312" w:cs="仿宋_GB2312"/>
                <w:snapToGrid w:val="0"/>
                <w:sz w:val="20"/>
                <w:szCs w:val="20"/>
                <w:highlight w:val="none"/>
                <w:lang w:val="en-US" w:eastAsia="zh-CN"/>
              </w:rPr>
              <w:t>三江侗族自治县</w:t>
            </w:r>
            <w:r>
              <w:rPr>
                <w:rFonts w:hint="eastAsia" w:ascii="仿宋_GB2312" w:hAnsi="仿宋_GB2312" w:eastAsia="仿宋_GB2312" w:cs="仿宋_GB2312"/>
                <w:snapToGrid w:val="0"/>
                <w:sz w:val="20"/>
                <w:szCs w:val="20"/>
                <w:highlight w:val="none"/>
                <w:lang w:eastAsia="zh-CN"/>
              </w:rPr>
              <w:t>古宜镇</w:t>
            </w:r>
            <w:r>
              <w:rPr>
                <w:rFonts w:hint="eastAsia" w:ascii="仿宋_GB2312" w:hAnsi="仿宋_GB2312" w:eastAsia="仿宋_GB2312" w:cs="仿宋_GB2312"/>
                <w:snapToGrid w:val="0"/>
                <w:sz w:val="20"/>
                <w:szCs w:val="20"/>
                <w:highlight w:val="none"/>
                <w:lang w:val="en-US" w:eastAsia="zh-CN"/>
              </w:rPr>
              <w:t>人民政府</w:t>
            </w: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highlight w:val="none"/>
              </w:rPr>
            </w:pPr>
            <w:r>
              <w:rPr>
                <w:rFonts w:hint="eastAsia" w:ascii="仿宋_GB2312" w:hAnsi="仿宋_GB2312" w:eastAsia="仿宋_GB2312" w:cs="仿宋_GB2312"/>
                <w:snapToGrid w:val="0"/>
                <w:sz w:val="20"/>
                <w:szCs w:val="20"/>
                <w:highlight w:val="none"/>
                <w:lang w:eastAsia="zh-CN"/>
              </w:rPr>
              <w:t>乡村建设综合服务中心</w:t>
            </w:r>
          </w:p>
        </w:tc>
        <w:tc>
          <w:tcPr>
            <w:tcW w:w="2939" w:type="dxa"/>
            <w:shd w:val="clear" w:color="auto" w:fill="FFFFFF"/>
            <w:noWrap w:val="0"/>
            <w:tcMar>
              <w:top w:w="57" w:type="dxa"/>
              <w:left w:w="57" w:type="dxa"/>
              <w:bottom w:w="57" w:type="dxa"/>
              <w:right w:w="57" w:type="dxa"/>
            </w:tcMar>
            <w:vAlign w:val="center"/>
          </w:tcPr>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highlight w:val="none"/>
              </w:rPr>
            </w:pPr>
            <w:r>
              <w:rPr>
                <w:rFonts w:hint="eastAsia" w:ascii="仿宋_GB2312" w:hAnsi="仿宋_GB2312" w:eastAsia="仿宋_GB2312" w:cs="仿宋_GB2312"/>
                <w:b w:val="0"/>
                <w:bCs w:val="0"/>
                <w:color w:val="000000"/>
                <w:kern w:val="0"/>
                <w:sz w:val="20"/>
                <w:szCs w:val="20"/>
                <w:highlight w:val="none"/>
              </w:rPr>
              <w:t>【行政法规】《村庄和集镇规划建设管理条例》（中华人民共和国国务院令第116号）第六条 国务院建设行政主管部门主管全国的村庄、集镇规划建设管理工作。</w:t>
            </w:r>
          </w:p>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highlight w:val="none"/>
              </w:rPr>
            </w:pPr>
            <w:r>
              <w:rPr>
                <w:rFonts w:hint="eastAsia" w:ascii="仿宋_GB2312" w:hAnsi="仿宋_GB2312" w:eastAsia="仿宋_GB2312" w:cs="仿宋_GB2312"/>
                <w:b w:val="0"/>
                <w:bCs w:val="0"/>
                <w:color w:val="000000"/>
                <w:kern w:val="0"/>
                <w:sz w:val="20"/>
                <w:szCs w:val="20"/>
                <w:highlight w:val="none"/>
              </w:rPr>
              <w:t>县级以上地方人民政府建设行政主管部门主管本行政区域的村庄、集镇规划建设管理工作。</w:t>
            </w:r>
          </w:p>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highlight w:val="none"/>
              </w:rPr>
            </w:pPr>
            <w:r>
              <w:rPr>
                <w:rFonts w:hint="eastAsia" w:ascii="仿宋_GB2312" w:hAnsi="仿宋_GB2312" w:eastAsia="仿宋_GB2312" w:cs="仿宋_GB2312"/>
                <w:b w:val="0"/>
                <w:bCs w:val="0"/>
                <w:color w:val="000000"/>
                <w:kern w:val="0"/>
                <w:sz w:val="20"/>
                <w:szCs w:val="20"/>
                <w:highlight w:val="none"/>
              </w:rPr>
              <w:t>乡级人民政府负责本行政区域的村庄、集镇规划建设管理工作。</w:t>
            </w:r>
          </w:p>
          <w:p>
            <w:pPr>
              <w:adjustRightInd w:val="0"/>
              <w:snapToGrid w:val="0"/>
              <w:spacing w:line="320" w:lineRule="exact"/>
              <w:jc w:val="left"/>
              <w:rPr>
                <w:rFonts w:hint="eastAsia" w:ascii="仿宋_GB2312" w:hAnsi="仿宋_GB2312" w:eastAsia="仿宋_GB2312" w:cs="仿宋_GB2312"/>
                <w:b w:val="0"/>
                <w:bCs w:val="0"/>
                <w:color w:val="000000"/>
                <w:kern w:val="0"/>
                <w:sz w:val="20"/>
                <w:szCs w:val="20"/>
                <w:highlight w:val="none"/>
                <w:lang w:val="en-US" w:eastAsia="zh-CN" w:bidi="ar-SA"/>
              </w:rPr>
            </w:pPr>
            <w:r>
              <w:rPr>
                <w:rFonts w:hint="eastAsia" w:ascii="仿宋_GB2312" w:hAnsi="仿宋_GB2312" w:eastAsia="仿宋_GB2312" w:cs="仿宋_GB2312"/>
                <w:b w:val="0"/>
                <w:bCs w:val="0"/>
                <w:color w:val="000000"/>
                <w:kern w:val="0"/>
                <w:sz w:val="20"/>
                <w:szCs w:val="20"/>
                <w:highlight w:val="none"/>
              </w:rPr>
              <w:t>第三十二条 未经乡级人民政府批准，任何单位和个人不得擅自在村庄、集镇规划区内的街道、广场、市场和车站等场所修建临时建筑物、构筑物和其他设施。</w:t>
            </w:r>
          </w:p>
        </w:tc>
        <w:tc>
          <w:tcPr>
            <w:tcW w:w="2730" w:type="dxa"/>
            <w:shd w:val="clear" w:color="auto" w:fill="FFFFFF"/>
            <w:noWrap w:val="0"/>
            <w:tcMar>
              <w:top w:w="57" w:type="dxa"/>
              <w:left w:w="57" w:type="dxa"/>
              <w:bottom w:w="57" w:type="dxa"/>
              <w:right w:w="57" w:type="dxa"/>
            </w:tcMar>
            <w:vAlign w:val="center"/>
          </w:tcPr>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highlight w:val="none"/>
              </w:rPr>
            </w:pPr>
            <w:r>
              <w:rPr>
                <w:rFonts w:hint="eastAsia" w:ascii="仿宋_GB2312" w:hAnsi="仿宋_GB2312" w:eastAsia="仿宋_GB2312" w:cs="仿宋_GB2312"/>
                <w:b w:val="0"/>
                <w:bCs w:val="0"/>
                <w:color w:val="000000"/>
                <w:sz w:val="20"/>
                <w:szCs w:val="20"/>
                <w:highlight w:val="none"/>
              </w:rPr>
              <w:t>1.受理责任：公示应当提交的材料，一次性告知补正材料，依法受理或不予受理（不予受理应当告知理由）。</w:t>
            </w:r>
          </w:p>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highlight w:val="none"/>
              </w:rPr>
            </w:pPr>
            <w:r>
              <w:rPr>
                <w:rFonts w:hint="eastAsia" w:ascii="仿宋_GB2312" w:hAnsi="仿宋_GB2312" w:eastAsia="仿宋_GB2312" w:cs="仿宋_GB2312"/>
                <w:b w:val="0"/>
                <w:bCs w:val="0"/>
                <w:color w:val="000000"/>
                <w:sz w:val="20"/>
                <w:szCs w:val="20"/>
                <w:highlight w:val="none"/>
              </w:rPr>
              <w:t>2.审查责任：审查申请材料，组织专家审查。</w:t>
            </w:r>
          </w:p>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highlight w:val="none"/>
              </w:rPr>
            </w:pPr>
            <w:r>
              <w:rPr>
                <w:rFonts w:hint="eastAsia" w:ascii="仿宋_GB2312" w:hAnsi="仿宋_GB2312" w:eastAsia="仿宋_GB2312" w:cs="仿宋_GB2312"/>
                <w:b w:val="0"/>
                <w:bCs w:val="0"/>
                <w:color w:val="000000"/>
                <w:sz w:val="20"/>
                <w:szCs w:val="20"/>
                <w:highlight w:val="none"/>
              </w:rPr>
              <w:t>3.决定责任：作出行政许可或者不予行政许可决定，法定告知（不予许可的应当书面告知理由） 。</w:t>
            </w:r>
          </w:p>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highlight w:val="none"/>
              </w:rPr>
            </w:pPr>
            <w:r>
              <w:rPr>
                <w:rFonts w:hint="eastAsia" w:ascii="仿宋_GB2312" w:hAnsi="仿宋_GB2312" w:eastAsia="仿宋_GB2312" w:cs="仿宋_GB2312"/>
                <w:b w:val="0"/>
                <w:bCs w:val="0"/>
                <w:color w:val="000000"/>
                <w:sz w:val="20"/>
                <w:szCs w:val="20"/>
                <w:highlight w:val="none"/>
              </w:rPr>
              <w:t>4.送达责任：准予许可的，制发许可证书或批件，送达并信息公开。</w:t>
            </w:r>
          </w:p>
          <w:p>
            <w:pPr>
              <w:adjustRightInd w:val="0"/>
              <w:snapToGrid w:val="0"/>
              <w:spacing w:line="260" w:lineRule="exact"/>
              <w:ind w:firstLine="400" w:firstLineChars="200"/>
              <w:jc w:val="left"/>
              <w:rPr>
                <w:rFonts w:hint="eastAsia" w:ascii="仿宋_GB2312" w:hAnsi="仿宋_GB2312" w:eastAsia="仿宋_GB2312" w:cs="仿宋_GB2312"/>
                <w:b w:val="0"/>
                <w:bCs w:val="0"/>
                <w:color w:val="000000"/>
                <w:sz w:val="20"/>
                <w:szCs w:val="20"/>
                <w:highlight w:val="none"/>
              </w:rPr>
            </w:pPr>
            <w:r>
              <w:rPr>
                <w:rFonts w:hint="eastAsia" w:ascii="仿宋_GB2312" w:hAnsi="仿宋_GB2312" w:eastAsia="仿宋_GB2312" w:cs="仿宋_GB2312"/>
                <w:b w:val="0"/>
                <w:bCs w:val="0"/>
                <w:color w:val="000000"/>
                <w:sz w:val="20"/>
                <w:szCs w:val="20"/>
                <w:highlight w:val="none"/>
              </w:rPr>
              <w:t>5.监管责任：建立企业诚信信息库，建立实施监督检查的运行机制和管理制度，开展定期和不定期检查，依法采取相关处置措施。</w:t>
            </w:r>
          </w:p>
          <w:p>
            <w:pPr>
              <w:adjustRightInd w:val="0"/>
              <w:snapToGrid w:val="0"/>
              <w:spacing w:line="257" w:lineRule="exact"/>
              <w:jc w:val="left"/>
              <w:rPr>
                <w:rFonts w:hint="eastAsia" w:ascii="仿宋_GB2312" w:hAnsi="仿宋_GB2312" w:eastAsia="仿宋_GB2312" w:cs="仿宋_GB2312"/>
                <w:b w:val="0"/>
                <w:bCs w:val="0"/>
                <w:color w:val="000000"/>
                <w:kern w:val="2"/>
                <w:sz w:val="20"/>
                <w:szCs w:val="20"/>
                <w:highlight w:val="none"/>
                <w:lang w:val="en-US" w:eastAsia="zh-CN" w:bidi="ar-SA"/>
              </w:rPr>
            </w:pPr>
            <w:r>
              <w:rPr>
                <w:rFonts w:hint="eastAsia" w:ascii="仿宋_GB2312" w:hAnsi="仿宋_GB2312" w:eastAsia="仿宋_GB2312" w:cs="仿宋_GB2312"/>
                <w:b w:val="0"/>
                <w:bCs w:val="0"/>
                <w:color w:val="000000"/>
                <w:sz w:val="20"/>
                <w:szCs w:val="20"/>
                <w:highlight w:val="none"/>
              </w:rPr>
              <w:t>6.法律法规规章文件规定的其他应履行的责任。</w:t>
            </w:r>
          </w:p>
        </w:tc>
        <w:tc>
          <w:tcPr>
            <w:tcW w:w="3811" w:type="dxa"/>
            <w:shd w:val="clear" w:color="auto" w:fill="FFFFFF"/>
            <w:noWrap w:val="0"/>
            <w:tcMar>
              <w:top w:w="57" w:type="dxa"/>
              <w:left w:w="57" w:type="dxa"/>
              <w:bottom w:w="57" w:type="dxa"/>
              <w:right w:w="57" w:type="dxa"/>
            </w:tcMar>
            <w:vAlign w:val="center"/>
          </w:tcPr>
          <w:p>
            <w:pPr>
              <w:adjustRightInd w:val="0"/>
              <w:snapToGrid w:val="0"/>
              <w:spacing w:line="216" w:lineRule="exact"/>
              <w:ind w:firstLine="400" w:firstLineChars="200"/>
              <w:jc w:val="left"/>
              <w:rPr>
                <w:rFonts w:hint="eastAsia" w:ascii="仿宋_GB2312" w:hAnsi="仿宋_GB2312" w:eastAsia="仿宋_GB2312" w:cs="仿宋_GB2312"/>
                <w:b w:val="0"/>
                <w:bCs w:val="0"/>
                <w:color w:val="000000"/>
                <w:sz w:val="20"/>
                <w:szCs w:val="20"/>
                <w:highlight w:val="none"/>
              </w:rPr>
            </w:pPr>
            <w:r>
              <w:rPr>
                <w:rFonts w:hint="eastAsia" w:ascii="仿宋_GB2312" w:hAnsi="仿宋_GB2312" w:eastAsia="仿宋_GB2312" w:cs="仿宋_GB2312"/>
                <w:b w:val="0"/>
                <w:bCs w:val="0"/>
                <w:color w:val="000000"/>
                <w:sz w:val="20"/>
                <w:szCs w:val="20"/>
                <w:highlight w:val="none"/>
              </w:rPr>
              <w:t>1.【法律】《中华人民共和国行政</w:t>
            </w:r>
            <w:r>
              <w:rPr>
                <w:rFonts w:hint="eastAsia" w:ascii="仿宋_GB2312" w:hAnsi="仿宋_GB2312" w:eastAsia="仿宋_GB2312" w:cs="仿宋_GB2312"/>
                <w:b w:val="0"/>
                <w:bCs w:val="0"/>
                <w:color w:val="000000"/>
                <w:sz w:val="20"/>
                <w:szCs w:val="20"/>
                <w:highlight w:val="none"/>
                <w:lang w:val="en"/>
              </w:rPr>
              <w:t>许可法》(2003年8月27日第十届全国人民代表大会常务委员会第四次会议通过　根据2019年4月23日第十三届全国人民代表大会常务委员会第十次会议《关于修改〈中华人民共和国建筑法〉等八部法律的决定》修正)</w:t>
            </w:r>
            <w:r>
              <w:rPr>
                <w:rFonts w:hint="eastAsia" w:ascii="仿宋_GB2312" w:hAnsi="仿宋_GB2312" w:eastAsia="仿宋_GB2312" w:cs="仿宋_GB2312"/>
                <w:b w:val="0"/>
                <w:bCs w:val="0"/>
                <w:color w:val="000000"/>
                <w:sz w:val="20"/>
                <w:szCs w:val="20"/>
                <w:highlight w:val="none"/>
              </w:rPr>
              <w:t>第三十二条</w:t>
            </w:r>
            <w:r>
              <w:rPr>
                <w:rFonts w:hint="eastAsia" w:ascii="仿宋_GB2312" w:hAnsi="仿宋_GB2312" w:eastAsia="仿宋_GB2312" w:cs="仿宋_GB2312"/>
                <w:b w:val="0"/>
                <w:bCs w:val="0"/>
                <w:color w:val="000000"/>
                <w:sz w:val="20"/>
                <w:szCs w:val="20"/>
                <w:highlight w:val="none"/>
                <w:lang w:val="en-US" w:eastAsia="zh-CN"/>
              </w:rPr>
              <w:t>:</w:t>
            </w:r>
            <w:r>
              <w:rPr>
                <w:rFonts w:hint="eastAsia" w:ascii="仿宋_GB2312" w:hAnsi="仿宋_GB2312" w:eastAsia="仿宋_GB2312" w:cs="仿宋_GB2312"/>
                <w:b w:val="0"/>
                <w:bCs w:val="0"/>
                <w:color w:val="000000"/>
                <w:sz w:val="20"/>
                <w:szCs w:val="20"/>
                <w:highlight w:val="none"/>
              </w:rPr>
              <w:t>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用印章和注明日期的书面凭证。</w:t>
            </w:r>
          </w:p>
          <w:p>
            <w:pPr>
              <w:adjustRightInd w:val="0"/>
              <w:snapToGrid w:val="0"/>
              <w:spacing w:line="216" w:lineRule="exact"/>
              <w:ind w:firstLine="400" w:firstLineChars="200"/>
              <w:jc w:val="left"/>
              <w:rPr>
                <w:rFonts w:hint="eastAsia" w:ascii="仿宋_GB2312" w:hAnsi="仿宋_GB2312" w:eastAsia="仿宋_GB2312" w:cs="仿宋_GB2312"/>
                <w:b w:val="0"/>
                <w:bCs w:val="0"/>
                <w:color w:val="000000"/>
                <w:sz w:val="20"/>
                <w:szCs w:val="20"/>
                <w:highlight w:val="none"/>
              </w:rPr>
            </w:pPr>
            <w:r>
              <w:rPr>
                <w:rFonts w:hint="eastAsia" w:ascii="仿宋_GB2312" w:hAnsi="仿宋_GB2312" w:eastAsia="仿宋_GB2312" w:cs="仿宋_GB2312"/>
                <w:b w:val="0"/>
                <w:bCs w:val="0"/>
                <w:color w:val="000000"/>
                <w:sz w:val="20"/>
                <w:szCs w:val="20"/>
                <w:highlight w:val="none"/>
              </w:rPr>
              <w:t>2</w:t>
            </w:r>
            <w:r>
              <w:rPr>
                <w:rFonts w:hint="eastAsia" w:ascii="仿宋_GB2312" w:hAnsi="仿宋_GB2312" w:eastAsia="仿宋_GB2312" w:cs="仿宋_GB2312"/>
                <w:b w:val="0"/>
                <w:bCs w:val="0"/>
                <w:color w:val="000000"/>
                <w:sz w:val="20"/>
                <w:szCs w:val="20"/>
                <w:highlight w:val="none"/>
                <w:lang w:val="en-US" w:eastAsia="zh-CN"/>
              </w:rPr>
              <w:t>.</w:t>
            </w:r>
            <w:r>
              <w:rPr>
                <w:rFonts w:hint="eastAsia" w:ascii="仿宋_GB2312" w:hAnsi="仿宋_GB2312" w:eastAsia="仿宋_GB2312" w:cs="仿宋_GB2312"/>
                <w:b w:val="0"/>
                <w:bCs w:val="0"/>
                <w:color w:val="000000"/>
                <w:sz w:val="20"/>
                <w:szCs w:val="20"/>
                <w:highlight w:val="none"/>
              </w:rPr>
              <w:t>【法律】《中华人民共和国行政</w:t>
            </w:r>
            <w:r>
              <w:rPr>
                <w:rFonts w:hint="eastAsia" w:ascii="仿宋_GB2312" w:hAnsi="仿宋_GB2312" w:eastAsia="仿宋_GB2312" w:cs="仿宋_GB2312"/>
                <w:b w:val="0"/>
                <w:bCs w:val="0"/>
                <w:color w:val="000000"/>
                <w:sz w:val="20"/>
                <w:szCs w:val="20"/>
                <w:highlight w:val="none"/>
                <w:lang w:val="en"/>
              </w:rPr>
              <w:t>许可法》(2003年8月27日第十届全国人民代表大会常务委员会第四次会议通过　根据2019年4月23日第十三届全国人民代表大会常务委员会第十次会议《关于修改〈中华人民共和国建筑法〉等八部法律的决定》修正)</w:t>
            </w:r>
            <w:r>
              <w:rPr>
                <w:rFonts w:hint="eastAsia" w:ascii="仿宋_GB2312" w:hAnsi="仿宋_GB2312" w:eastAsia="仿宋_GB2312" w:cs="仿宋_GB2312"/>
                <w:b w:val="0"/>
                <w:bCs w:val="0"/>
                <w:color w:val="000000"/>
                <w:sz w:val="20"/>
                <w:szCs w:val="20"/>
                <w:highlight w:val="none"/>
              </w:rPr>
              <w:t>第三十四条</w:t>
            </w:r>
            <w:r>
              <w:rPr>
                <w:rFonts w:hint="eastAsia" w:ascii="仿宋_GB2312" w:hAnsi="仿宋_GB2312" w:eastAsia="仿宋_GB2312" w:cs="仿宋_GB2312"/>
                <w:b w:val="0"/>
                <w:bCs w:val="0"/>
                <w:color w:val="000000"/>
                <w:sz w:val="20"/>
                <w:szCs w:val="20"/>
                <w:highlight w:val="none"/>
                <w:lang w:val="en-US" w:eastAsia="zh-CN"/>
              </w:rPr>
              <w:t>:</w:t>
            </w:r>
            <w:r>
              <w:rPr>
                <w:rFonts w:hint="eastAsia" w:ascii="仿宋_GB2312" w:hAnsi="仿宋_GB2312" w:eastAsia="仿宋_GB2312" w:cs="仿宋_GB2312"/>
                <w:b w:val="0"/>
                <w:bCs w:val="0"/>
                <w:color w:val="000000"/>
                <w:sz w:val="20"/>
                <w:szCs w:val="20"/>
                <w:highlight w:val="none"/>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highlight w:val="none"/>
                <w:lang w:val="en-US" w:eastAsia="zh-CN" w:bidi="ar-SA"/>
              </w:rPr>
            </w:pPr>
          </w:p>
        </w:tc>
        <w:tc>
          <w:tcPr>
            <w:tcW w:w="2969"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因不履行或不正确履行职责，有下列情形的，行政机关及相关工作人员应承担相应责任：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    1.对符合申报要求的申请不予受理、许可的；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    2.将不符合规定条件的予以审批的；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    3.超过法定期限或者擅自增设、变更审批程序或审批条件实施行政许可的；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    4.违反法定程序实施评审，造成经济损失或构成犯罪的；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    5.在履行职责过程中滥用职权、玩忽职守、徇私舞弊的；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    6.在审批过程中发生腐败行为的；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    7. 除以上追责情形外，其他违反法律法规规章的行为依法追求相应责任。</w:t>
            </w:r>
          </w:p>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4161" w:type="dxa"/>
            <w:shd w:val="clear" w:color="auto" w:fill="FFFFFF"/>
            <w:noWrap w:val="0"/>
            <w:tcMar>
              <w:top w:w="57" w:type="dxa"/>
              <w:left w:w="57" w:type="dxa"/>
              <w:bottom w:w="57" w:type="dxa"/>
              <w:right w:w="57"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1.【法律】《中华人民共和国行政许可法》（2003年主席令第七号公布）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二）不在办公场所公示依法应当公示的材料的；（三）在受理、审查、决定行政许可过程中，未向申请人、利害关系人履行法定告知义务的；（四）申请人提交的申请材料不齐全、不符合法定形式，不一次告知申请人必须补正的全部内容的；（五）未依法说明不受理行政许可申请或者不予行政许可的理由的；（六）依法应当举行听证而不举行听证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2.【法律】《中华人民共和国行政许可法》（2003年主席令第七号公布）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二）对符合法定条件的申请人不予行政许可或者不在法定期限内作出准予行政许可决定的；（三）依法应当根据招标、拍卖结果或者考试成绩择优作出准予行政许可决定，未经招标、拍卖或者考试，或者不根据招标、拍卖结果或者考试成绩择优作出准予行政许可决定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    3.【法规】《行政机关公务员处分条例》（2007年4月4日中华人民共和国国务院令第495号公布）第二十一条　有下列行为之一的，给予警告或者记过处分；情节较重的，给予记大过或者降级处分；情节严重的，给予撤职处分：（一）在行政许可工作中违反法定权限、条件和程序设定或者实施行政许可的；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    4.同2。</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    5.【法律】《公务员法》（２００５年４月２７日中华人民共和国主席令第三十五号发布）（２００５年４月２７日中华人民共和国主席令第三十五号发布）第一百零四条 公务员主管部门的工作人员，违反本法规定，滥用职权、玩忽职守、徇私舞弊，构成犯罪的，依法追究刑事责任；尚不构成犯罪的，给予处分。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    6.【法规】《行政机关公务员处分条例》（2007年4月4日中华人民共和国国务院令第495号公布）第二十三条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7.同1.</w:t>
            </w:r>
          </w:p>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highlight w:val="none"/>
                <w:lang w:eastAsia="zh-CN"/>
              </w:rPr>
            </w:pPr>
            <w:r>
              <w:rPr>
                <w:rFonts w:ascii="仿宋_GB2312" w:hAnsi="宋体" w:eastAsia="仿宋_GB2312" w:cs="仿宋_GB2312"/>
                <w:i w:val="0"/>
                <w:iCs w:val="0"/>
                <w:caps w:val="0"/>
                <w:color w:val="auto"/>
                <w:spacing w:val="0"/>
                <w:sz w:val="20"/>
                <w:szCs w:val="20"/>
                <w:highlight w:val="none"/>
                <w:shd w:val="clear" w:fill="FFFFFF"/>
              </w:rPr>
              <w:t>法律法规规定的免责情形及自治区党委、自治区人民政府有关文件中明确的免责情形。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9211"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highlight w:val="none"/>
                <w:lang w:val="en-US" w:eastAsia="zh-CN" w:bidi="ar"/>
              </w:rPr>
            </w:pPr>
            <w:r>
              <w:rPr>
                <w:rFonts w:hint="eastAsia" w:ascii="仿宋_GB2312" w:hAnsi="仿宋_GB2312" w:eastAsia="仿宋_GB2312" w:cs="仿宋_GB2312"/>
                <w:color w:val="auto"/>
                <w:kern w:val="0"/>
                <w:sz w:val="20"/>
                <w:szCs w:val="20"/>
                <w:highlight w:val="none"/>
                <w:lang w:val="en-US" w:eastAsia="zh-CN" w:bidi="ar"/>
              </w:rPr>
              <w:t>8</w:t>
            </w: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0"/>
                <w:szCs w:val="20"/>
                <w:highlight w:val="none"/>
                <w:lang w:eastAsia="zh-CN"/>
              </w:rPr>
              <w:t>行政许可</w:t>
            </w: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林木采伐许可证核发</w:t>
            </w: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highlight w:val="none"/>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highlight w:val="none"/>
                <w:lang w:val="en-US" w:eastAsia="zh-CN" w:bidi="ar-SA"/>
              </w:rPr>
            </w:pPr>
            <w:r>
              <w:rPr>
                <w:rFonts w:hint="eastAsia" w:ascii="仿宋_GB2312" w:hAnsi="仿宋_GB2312" w:eastAsia="仿宋_GB2312" w:cs="仿宋_GB2312"/>
                <w:snapToGrid w:val="0"/>
                <w:sz w:val="20"/>
                <w:szCs w:val="20"/>
                <w:highlight w:val="none"/>
                <w:lang w:val="en-US" w:eastAsia="zh-CN"/>
              </w:rPr>
              <w:t>三江侗族自治县</w:t>
            </w:r>
            <w:r>
              <w:rPr>
                <w:rFonts w:hint="eastAsia" w:ascii="仿宋_GB2312" w:hAnsi="仿宋_GB2312" w:eastAsia="仿宋_GB2312" w:cs="仿宋_GB2312"/>
                <w:snapToGrid w:val="0"/>
                <w:sz w:val="20"/>
                <w:szCs w:val="20"/>
                <w:highlight w:val="none"/>
                <w:lang w:eastAsia="zh-CN"/>
              </w:rPr>
              <w:t>古宜镇</w:t>
            </w:r>
            <w:r>
              <w:rPr>
                <w:rFonts w:hint="eastAsia" w:ascii="仿宋_GB2312" w:hAnsi="仿宋_GB2312" w:eastAsia="仿宋_GB2312" w:cs="仿宋_GB2312"/>
                <w:snapToGrid w:val="0"/>
                <w:sz w:val="20"/>
                <w:szCs w:val="20"/>
                <w:highlight w:val="none"/>
                <w:lang w:val="en-US" w:eastAsia="zh-CN"/>
              </w:rPr>
              <w:t>人民政府</w:t>
            </w: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highlight w:val="none"/>
                <w:lang w:val="en-US" w:eastAsia="zh-CN" w:bidi="ar-SA"/>
              </w:rPr>
            </w:pPr>
            <w:r>
              <w:rPr>
                <w:rFonts w:hint="eastAsia" w:ascii="仿宋_GB2312" w:hAnsi="仿宋_GB2312" w:eastAsia="仿宋_GB2312" w:cs="仿宋_GB2312"/>
                <w:snapToGrid w:val="0"/>
                <w:sz w:val="20"/>
                <w:szCs w:val="20"/>
                <w:highlight w:val="none"/>
                <w:lang w:eastAsia="zh-CN"/>
              </w:rPr>
              <w:t>林业工作站</w:t>
            </w:r>
          </w:p>
        </w:tc>
        <w:tc>
          <w:tcPr>
            <w:tcW w:w="2939"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【法律】《中华人民共和国森林法》（2019年12月28日主席令第三十九号公布，2020年7月1日起施行)第五十六条  采伐林地上的林木应当申请采伐许可证，并按照采伐许可证的规定进行采伐；采伐自然保护区以外的竹林，不需要申请采伐许可证，但应当符合林木采伐技术规程。农村居民采伐自留地和房前屋后个人所有的零星林木，不需要申请采伐许可证。非林地上的农田防护林、防风固沙林、护路林、护岸护堤林和城镇林木等的更新采伐，由有关主管部门按照有关规定管理。采挖移植林木按照采伐林木管理。具体办法由国务院林业主管部门制定。禁止伪造、变造、买卖、租借采伐许可证。</w:t>
            </w:r>
          </w:p>
          <w:p>
            <w:pPr>
              <w:adjustRightInd w:val="0"/>
              <w:snapToGrid w:val="0"/>
              <w:spacing w:line="320" w:lineRule="exact"/>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xml:space="preserve">    第五十七条  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p>
            <w:pPr>
              <w:adjustRightInd w:val="0"/>
              <w:snapToGrid w:val="0"/>
              <w:spacing w:line="320" w:lineRule="exact"/>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xml:space="preserve">    第五十九条  符合林木采伐技术规程的，审核发放采伐许可证的部门应当及时核发采伐许可证。但是，审核发放采伐许可证的部门不得超过年采伐限额发放采伐许可证。</w:t>
            </w:r>
          </w:p>
          <w:p>
            <w:pPr>
              <w:adjustRightInd w:val="0"/>
              <w:snapToGrid w:val="0"/>
              <w:spacing w:line="320" w:lineRule="exact"/>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xml:space="preserve">    【行政法规】《中华人民共和国森林法实施条例》（2000年1月29日国务院令第278号公布并实施，根据2018年3月19日《国务院关于修改和废止部分行政法规的决定》修正）第三十二条  除森林法已有明确规定的外，林木采伐许可证按照下列规定权限核发：（一）县属国有林场，由所在地的县级人民政府林业主管部门核发；（二）省、自治区、直辖市和设区的市、自治州所属的国有林业企业事业单位、其他国有企业事业单位，由所在地的省、自治区、直辖市人民政府林业主管部门核发；（三）重点林区的国有林业企业事业单位，由国务院林业主管部门核发。</w:t>
            </w:r>
          </w:p>
        </w:tc>
        <w:tc>
          <w:tcPr>
            <w:tcW w:w="2730" w:type="dxa"/>
            <w:shd w:val="clear" w:color="auto" w:fill="FFFFFF"/>
            <w:noWrap w:val="0"/>
            <w:tcMar>
              <w:top w:w="57" w:type="dxa"/>
              <w:left w:w="57" w:type="dxa"/>
              <w:bottom w:w="57" w:type="dxa"/>
              <w:right w:w="57" w:type="dxa"/>
            </w:tcMar>
            <w:vAlign w:val="center"/>
          </w:tcPr>
          <w:p>
            <w:pPr>
              <w:adjustRightInd w:val="0"/>
              <w:snapToGrid w:val="0"/>
              <w:spacing w:line="257" w:lineRule="exact"/>
              <w:jc w:val="left"/>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1.受理责任 ：公示依法应当提交的材料；一次性告知补正材料；依法受理或不予受理（不予受理应当告知理由）。</w:t>
            </w:r>
          </w:p>
          <w:p>
            <w:pPr>
              <w:adjustRightInd w:val="0"/>
              <w:snapToGrid w:val="0"/>
              <w:spacing w:line="257" w:lineRule="exact"/>
              <w:jc w:val="left"/>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 xml:space="preserve">    2.审查责任 ：对申请材料进行审查，提出是否同意审批的初步意见；直接关系他人重大利益的，告知利害相关人并听取意见。</w:t>
            </w:r>
          </w:p>
          <w:p>
            <w:pPr>
              <w:adjustRightInd w:val="0"/>
              <w:snapToGrid w:val="0"/>
              <w:spacing w:line="257" w:lineRule="exact"/>
              <w:jc w:val="left"/>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 xml:space="preserve">    3.决定责任 ：作出准予或者不予行政许可决定。不予许可的书面告知理由。</w:t>
            </w:r>
          </w:p>
          <w:p>
            <w:pPr>
              <w:adjustRightInd w:val="0"/>
              <w:snapToGrid w:val="0"/>
              <w:spacing w:line="257" w:lineRule="exact"/>
              <w:jc w:val="left"/>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 xml:space="preserve">    4.送达责任 ：送达审批决定，公开许可结果。</w:t>
            </w:r>
          </w:p>
          <w:p>
            <w:pPr>
              <w:adjustRightInd w:val="0"/>
              <w:snapToGrid w:val="0"/>
              <w:spacing w:line="257" w:lineRule="exact"/>
              <w:jc w:val="left"/>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 xml:space="preserve">    5.事后监管责任 ：建立实施监督检查的工作机制，并按照规定开展检查，依法采取相关处置措施。</w:t>
            </w:r>
          </w:p>
          <w:p>
            <w:pPr>
              <w:adjustRightInd w:val="0"/>
              <w:snapToGrid w:val="0"/>
              <w:spacing w:line="257" w:lineRule="exact"/>
              <w:jc w:val="left"/>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 xml:space="preserve">    6.法律法规规章文件规定的其他应履行的责任  。</w:t>
            </w:r>
          </w:p>
        </w:tc>
        <w:tc>
          <w:tcPr>
            <w:tcW w:w="3811" w:type="dxa"/>
            <w:shd w:val="clear" w:color="auto" w:fill="FFFFFF"/>
            <w:noWrap w:val="0"/>
            <w:tcMar>
              <w:top w:w="57" w:type="dxa"/>
              <w:left w:w="57" w:type="dxa"/>
              <w:bottom w:w="57" w:type="dxa"/>
              <w:right w:w="57" w:type="dxa"/>
            </w:tcMar>
            <w:vAlign w:val="center"/>
          </w:tcPr>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color w:val="auto"/>
                <w:kern w:val="0"/>
                <w:sz w:val="20"/>
                <w:szCs w:val="20"/>
                <w:highlight w:val="none"/>
                <w:lang w:val="en-US" w:eastAsia="zh-CN" w:bidi="ar-SA"/>
              </w:rPr>
              <w:t xml:space="preserve"> 1．【法律】《中华人民共和国行政许可法》（2003年主席令第七号公布，2019年4月23日修改）第三十二条 行政机关对申请人提出的行政许可申请，应当根据下列情况分别作出处理：（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 （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 行政机关受理或者不予受理行政许可申请，应当出具加盖本行政机关专用印章和注明日期的书面凭证。</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color w:val="auto"/>
                <w:kern w:val="0"/>
                <w:sz w:val="20"/>
                <w:szCs w:val="20"/>
                <w:highlight w:val="none"/>
                <w:lang w:val="en-US" w:eastAsia="zh-CN" w:bidi="ar-SA"/>
              </w:rPr>
              <w:t xml:space="preserve">    2-1.【法律】《中华人民共和国行政许可法》（2003年主席令第七号公布，2019年4月23日修改）第三十四条 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 </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color w:val="auto"/>
                <w:kern w:val="0"/>
                <w:sz w:val="20"/>
                <w:szCs w:val="20"/>
                <w:highlight w:val="none"/>
                <w:lang w:val="en-US" w:eastAsia="zh-CN" w:bidi="ar-SA"/>
              </w:rPr>
              <w:t xml:space="preserve">    2-2.【法律】《中华人民共和国行政许可法》（2003年主席令第七号公布，2019年4月23日修改）第三十六条　行政机关对行政许可申请进行审查时，发现行政许可事项直接关系他人重大利益的，应当告知该利害关系人。申请人、利害关系人有权进行陈述和申辩。行政机关应当听取申请人、利害关系人的意见。</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color w:val="auto"/>
                <w:kern w:val="0"/>
                <w:sz w:val="20"/>
                <w:szCs w:val="20"/>
                <w:highlight w:val="none"/>
                <w:lang w:val="en-US" w:eastAsia="zh-CN" w:bidi="ar-SA"/>
              </w:rPr>
              <w:t xml:space="preserve">    3.【法律】《中华人民共和国行政许可法》（2003年主席令第七号公布，2019年4月23日修改）第三十八条 申请人的申请符合法定条件、标准的，行政机关应当依法作出准予行政许可的书面决定。 行政机关依法作出不予行政许可的书面决定的，应当说明理由，并告知申请人享有依法申请行政复议或者提起行政诉讼的权利。</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color w:val="auto"/>
                <w:kern w:val="0"/>
                <w:sz w:val="20"/>
                <w:szCs w:val="20"/>
                <w:highlight w:val="none"/>
                <w:lang w:val="en-US" w:eastAsia="zh-CN" w:bidi="ar-SA"/>
              </w:rPr>
              <w:t xml:space="preserve">    4.【法律】《中华人民共和国行政许可法》（2003年主席令第七号公布，2019年4月23日修改）第四十四条 行政机关作出准予行政许可的决定，应当自作出决定之日起十日内向申请人颁发、送达行政许可证件，或者加贴标签、加盖检验、检测、检疫印章。</w:t>
            </w:r>
          </w:p>
          <w:p>
            <w:pPr>
              <w:adjustRightInd w:val="0"/>
              <w:snapToGrid w:val="0"/>
              <w:spacing w:line="320" w:lineRule="exact"/>
              <w:ind w:firstLine="390" w:firstLineChars="0"/>
              <w:jc w:val="left"/>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color w:val="auto"/>
                <w:kern w:val="0"/>
                <w:sz w:val="20"/>
                <w:szCs w:val="20"/>
                <w:highlight w:val="none"/>
                <w:lang w:val="en-US" w:eastAsia="zh-CN" w:bidi="ar-SA"/>
              </w:rPr>
              <w:t xml:space="preserve">    5.【法律】《中华人民共和国行政许可法》（2003年主席令第七号公布，2019年4月23日修改）第六十一条 行政机关应当建立健全监督制度，通过核查反映被许可人从事行政许可事项活动情况的有关材料，履行监督责任。 </w:t>
            </w: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 xml:space="preserve"> 因不履行或不正确履行行政职责，有下列情形的行政机关及相关工作人员应承担相应的责任：</w:t>
            </w:r>
          </w:p>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 xml:space="preserve">    1.对符合法定条件的不予受理的；</w:t>
            </w:r>
          </w:p>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 xml:space="preserve">    2.对不符合法定条件予以许可的；</w:t>
            </w:r>
          </w:p>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 xml:space="preserve">    3.未严格审查申请材料造成纠纷或财产损失的；</w:t>
            </w:r>
          </w:p>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 xml:space="preserve">    4.擅自增设、变更审查程序或备案条件的；</w:t>
            </w:r>
          </w:p>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 xml:space="preserve">    5.在项目审核中滥用职权、玩忽职守、徇私舞弊，造成森林资源遭受较大损失的；</w:t>
            </w:r>
          </w:p>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 xml:space="preserve">    6.其他违反法律法规规定的行为。</w:t>
            </w:r>
          </w:p>
        </w:tc>
        <w:tc>
          <w:tcPr>
            <w:tcW w:w="4161"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1.【法律】《中华人民共和国行政许可法》（2003年主席令第七号公布，2019年4月23日修改）第七十二条 行政机关及其工作人员违反本法的规定，有下列情形之一的，由其上级行政机关或者监察机关责令改正；情节严重的，对直接负责的主管人员和其他直接责任人员依法给予行政处分： （一）对符合法定条件的行政许可申请不予受理的；</w:t>
            </w:r>
          </w:p>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 xml:space="preserve">    2.【法律】《中华人民共和国行政许可法》（2003年主席令第七号公布，2019年4月23日修改）第七十四条 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 xml:space="preserve">    3.同2。</w:t>
            </w:r>
          </w:p>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 xml:space="preserve">    4.【法律】《中华人民共和国行政许可法》（2003年主席令第七号公布，2019年4月23日修改）第七十三条 行政机关工作人员办理行政许可、实施监督检查，索取或者收受他人财物或者谋取其他利益，构成犯罪的，依法追究刑事责任；尚不构成犯罪的，依法给予行政处分。</w:t>
            </w:r>
          </w:p>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 xml:space="preserve">    5.同4.</w:t>
            </w: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r>
              <w:rPr>
                <w:rFonts w:hint="eastAsia" w:ascii="仿宋_GB2312" w:hAnsi="仿宋_GB2312" w:eastAsia="仿宋_GB2312" w:cs="仿宋_GB2312"/>
                <w:color w:val="auto"/>
                <w:sz w:val="20"/>
                <w:szCs w:val="20"/>
                <w:highlight w:val="none"/>
                <w:lang w:eastAsia="zh-CN"/>
              </w:rPr>
              <w:t xml:space="preserve">  法律法规规章规定的免责情形以及《自治区党委办公厅关于印发〈深入推进激励干部新时代新担当新作为工作实施方案〉等6个文件的通知》中明确的免责情形。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88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highlight w:val="none"/>
                <w:lang w:val="en-US" w:eastAsia="zh-CN" w:bidi="ar"/>
              </w:rPr>
            </w:pPr>
            <w:r>
              <w:rPr>
                <w:rFonts w:hint="eastAsia" w:ascii="仿宋_GB2312" w:hAnsi="仿宋_GB2312" w:eastAsia="仿宋_GB2312" w:cs="仿宋_GB2312"/>
                <w:color w:val="auto"/>
                <w:kern w:val="0"/>
                <w:sz w:val="20"/>
                <w:szCs w:val="20"/>
                <w:highlight w:val="none"/>
                <w:lang w:val="en-US" w:eastAsia="zh-CN" w:bidi="ar"/>
              </w:rPr>
              <w:t>9</w:t>
            </w: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0"/>
                <w:szCs w:val="20"/>
                <w:highlight w:val="none"/>
                <w:lang w:eastAsia="zh-CN"/>
              </w:rPr>
              <w:t>行政处罚</w:t>
            </w: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违反乡村清洁规定行为的处罚</w:t>
            </w: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highlight w:val="none"/>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highlight w:val="none"/>
                <w:lang w:val="en-US" w:eastAsia="zh-CN" w:bidi="ar-SA"/>
              </w:rPr>
            </w:pPr>
            <w:r>
              <w:rPr>
                <w:rFonts w:hint="eastAsia" w:ascii="仿宋_GB2312" w:hAnsi="仿宋_GB2312" w:eastAsia="仿宋_GB2312" w:cs="仿宋_GB2312"/>
                <w:snapToGrid w:val="0"/>
                <w:sz w:val="20"/>
                <w:szCs w:val="20"/>
                <w:highlight w:val="none"/>
                <w:lang w:val="en-US" w:eastAsia="zh-CN"/>
              </w:rPr>
              <w:t>三江侗族自治县</w:t>
            </w:r>
            <w:r>
              <w:rPr>
                <w:rFonts w:hint="eastAsia" w:ascii="仿宋_GB2312" w:hAnsi="仿宋_GB2312" w:eastAsia="仿宋_GB2312" w:cs="仿宋_GB2312"/>
                <w:snapToGrid w:val="0"/>
                <w:sz w:val="20"/>
                <w:szCs w:val="20"/>
                <w:highlight w:val="none"/>
                <w:lang w:eastAsia="zh-CN"/>
              </w:rPr>
              <w:t>古宜镇</w:t>
            </w:r>
            <w:r>
              <w:rPr>
                <w:rFonts w:hint="eastAsia" w:ascii="仿宋_GB2312" w:hAnsi="仿宋_GB2312" w:eastAsia="仿宋_GB2312" w:cs="仿宋_GB2312"/>
                <w:snapToGrid w:val="0"/>
                <w:sz w:val="20"/>
                <w:szCs w:val="20"/>
                <w:highlight w:val="none"/>
                <w:lang w:val="en-US" w:eastAsia="zh-CN"/>
              </w:rPr>
              <w:t>人民政府</w:t>
            </w: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highlight w:val="none"/>
                <w:lang w:val="en-US" w:eastAsia="zh-CN" w:bidi="ar-SA"/>
              </w:rPr>
            </w:pPr>
            <w:r>
              <w:rPr>
                <w:rFonts w:hint="eastAsia" w:ascii="仿宋_GB2312" w:hAnsi="仿宋_GB2312" w:eastAsia="仿宋_GB2312" w:cs="仿宋_GB2312"/>
                <w:b w:val="0"/>
                <w:bCs w:val="0"/>
                <w:color w:val="000000"/>
                <w:kern w:val="0"/>
                <w:sz w:val="20"/>
                <w:szCs w:val="20"/>
                <w:highlight w:val="none"/>
                <w:lang w:val="en-US" w:eastAsia="zh-CN" w:bidi="ar-SA"/>
              </w:rPr>
              <w:t>乡村建设综合服务中心（综合行政执法队）</w:t>
            </w:r>
          </w:p>
        </w:tc>
        <w:tc>
          <w:tcPr>
            <w:tcW w:w="2939" w:type="dxa"/>
            <w:vMerge w:val="restart"/>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i w:val="0"/>
                <w:iCs w:val="0"/>
                <w:color w:val="auto"/>
                <w:kern w:val="0"/>
                <w:sz w:val="20"/>
                <w:szCs w:val="20"/>
                <w:highlight w:val="none"/>
                <w:u w:val="none"/>
                <w:lang w:val="en-US" w:eastAsia="zh-CN" w:bidi="ar"/>
              </w:rPr>
              <w:t>【地方性法规】《广西壮族自治区乡村清洁条例》（2016年广西壮族自治区第十二届人民代表大会公告第13号）第十二条：任何单位和个人不得侵占、损坏、擅自拆除、擅自关闭乡村卫生公厕、垃圾和污水处理等乡村清洁设施，或者擅自改变其用途。</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十七条：单位和个人应当自觉维护乡村环境卫生，不得有下列行为：（一）在公共场所、公路、乡村道路、田间倾倒渣土、垃圾，排放污水，堆放杂物，丢弃农药、化肥包装物和农业废弃物、畜禽尸体；（二）在公共场所、公路、乡村道路堆存粪便；（三）在公路、乡村道路晾晒谷物、秸秆等物品；（六）其他影响乡村环境卫生的行为。</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第十九条第三款：任何单位和个人不得在非指定地点倾倒、抛撒或者堆放建筑垃圾。</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三十九条：违反本条例第十二条规定，侵占、损坏、擅自拆除、擅自关闭乡村卫生公厕、垃圾和污水处理等乡村清洁设施或者擅自改变其用途的，由乡镇人民政府或者其委托的乡镇综合执法机构责令恢复原状，对单位可以并处一千元以上一万元以下罚款，对个人可以并处十元以上一百元以下罚款。</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四十条：违反本条例第十七条第一项、第二项、第三项、第六项规定，有下列行为之一的，由乡镇人民政府或者其委托的乡镇综合执法机构给予警告，并责令限期改正；逾期未改正的，对单位处五十元以上五百元以下罚款，对个人处五十元以下罚款；多次有下列行为之一的，对单位处五百元以上五千元以下罚款，对个人处五十元以上二百元以下罚款：（一）在公共场所、公路、乡村道路、田间倾倒渣土、垃圾，排放污水，堆放杂物，丢弃农药、化肥包装物和农业废弃物、畜禽尸体的；（二）在公共场所、公路、乡村道路堆存粪便的；（三）在公路、乡村道路晾晒谷物、秸秆等物品的；（四）有其他影响乡村环境卫生行为的。</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第四十一条：违反本条例第十九条第三款规定，在非指定地点倾倒、抛撒或者堆放建筑垃圾的，由乡镇人民政府或者其委托的乡镇综合执法机构责令限期改正；逾期未改正的，对单位处一千元以上一万元以下罚款，对个人处二十元以上二百元以下罚款；情节严重的，对单位处一万元以上五万元以下罚款，对个人处二百元以上一千元以下罚款。</w:t>
            </w:r>
          </w:p>
        </w:tc>
        <w:tc>
          <w:tcPr>
            <w:tcW w:w="2730" w:type="dxa"/>
            <w:vMerge w:val="restart"/>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i w:val="0"/>
                <w:iCs w:val="0"/>
                <w:color w:val="auto"/>
                <w:kern w:val="0"/>
                <w:sz w:val="20"/>
                <w:szCs w:val="20"/>
                <w:highlight w:val="none"/>
                <w:u w:val="none"/>
                <w:lang w:val="en-US" w:eastAsia="zh-CN" w:bidi="ar"/>
              </w:rPr>
              <w:t>1.立案责任：根据日常监管和投诉情况，进行相关监督检查和核实，决定是否立案受理。</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2.调查取证责任：对立案的案件展开调查和取证，制作调查笔录，调查结束出具书面调查终结报告。在调查取证时，应由2名以上执法人员参加，并向当事人出示有效的行政执法证件，允许当事人辩解陈述。</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3.审查核实责任：按照有关规定对案件违法事实、证据、调查取证程序、法律适用、处罚种类和幅度、当事人陈述和申辩理由等方面进行审查，提出处理意见（主要证据不足时，以适当的方式补充调查）。</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4.告知责任：作出行政处罚决定前，制作《行政处罚告知书》送达当事人，告知违法事实及其享有的陈述、申辩等权利。符合听证规定的，制作并送达《行政处罚听证告知书》。</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5.决定责任：作出行政处罚决定，制作行政处罚决定书。</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6.送达责任：行政处罚决定书应当在宣告后当场交付当事人；当事人不在场的，行政机关应当在七日内依照民事诉讼法的有关规定，将行政处罚决定书送达当事人。</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7.执行责任：监督当事人在决定的期限内，履行生效的行政处罚决定。当事人在法定期限内不申请行政复议或者提起行政诉讼，又不履行的，可依法采取申请人民法院强制执行。</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8.监督责任：对行政处罚决定执行情况进行监督检查。</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9.其他法律法规规章文件规定应履行的责任。</w:t>
            </w:r>
          </w:p>
        </w:tc>
        <w:tc>
          <w:tcPr>
            <w:tcW w:w="3811" w:type="dxa"/>
            <w:vMerge w:val="restart"/>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i w:val="0"/>
                <w:iCs w:val="0"/>
                <w:color w:val="auto"/>
                <w:kern w:val="0"/>
                <w:sz w:val="20"/>
                <w:szCs w:val="20"/>
                <w:highlight w:val="none"/>
                <w:u w:val="none"/>
                <w:lang w:val="en-US" w:eastAsia="zh-CN" w:bidi="ar"/>
              </w:rPr>
              <w:t>1-1.【法律】《中华人民共和国行政处罚法》第四十条：公民、法人或者其他组织违反行政管理秩序的行为，依法应当给予行政处罚的，行政机关必须查明事实；违法事实不清、证据不足的，不得给予行政处罚。</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1-2.【部门规章】《住房和城乡建设行政处罚程序规定》（2022年建设部令第55号）第十五条　执法机关对依据监督检查职权或者通过投诉、举报等途径发现的违法行为线索，应当在十五日内予以核查，情况复杂确实无法按期完成的，经本机关负责人批准，可以延长十日。经核查，符合下列条件的，应当予以立案：（一）有初步证据证明存在违法行为；（二）违法行为属于本机关管辖；（三）违法行为未超过行政处罚时效。立案应当填写立案审批表，附上相关材料，报本机关负责人批准。立案前核查或者监督检查过程中依法取得的证据材料，可以作为案件的证据使用。</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符合立案标准的，行政机关应当及时立案。</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2-2.【法律】《中华人民共和国行政处罚法》第四十二条：行政处罚应当由具有行政执法资格的执法人员实施。执法人员不得少于两人，法律另有规定的除外。</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执法人员应当文明执法，尊重和保护当事人合法权益。</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2-3.【部门规章】《住房和城乡建设行政处罚程序规定》（2022年建设部令第55号）第十六条：执法人员询问当事人及有关人员，应当个别进行并制作笔录，笔录经被询问人核对、修改差错、补充遗漏后，由被询问人逐页签名或者盖章。第十七条：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提取物证应当有当事人在场，对所提取的物证应当开具物品清单，由执法人员和当事人签名或者盖章，各执一份。无法找到当事人，或者当事人在场确有困难、拒绝到场、拒绝签字的，执法人员可以邀请有关基层组织的代表或者无利害关系的其他人到场见证，也可以用录像等方式进行记录，依照有关规定提取物证。对违法嫌疑物品或者场所进行检查时，应当通知当事人在场，并制作现场笔录，载明时间、地点、事件等内容，由执法人员、当事人签名或者盖章。无法找到当事人，或者当事人在场确有困难、拒绝到场、拒绝签字的，应当用录像等方式记录检查过程并在现场笔录中注明。第十八条：为了查明案情，需要进行检测、检验、鉴定的，执法机关应当依法委托具备相应条件的机构进行。检测、检验、鉴定结果应当告知当事人。 执法机关因实施行政处罚的需要，可以向有关机关出具协助函，请求有关机关协助进行调查取证等。第十九条 ：执法机关查处违法行为过程中，在证据可能灭失或者以后难以取得的情况下，经本机关负责人批准，可以对证据先行登记保存。</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3-1.【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3-2.【部门规章】《住房和城乡建设行政处罚程序规定》（2022年建设部令第55号）第二十六条：执法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执法机关负责人应当集体讨论决定。</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4-1.【法律】《中华人民共和国行政处罚法》第七条：公民、法人或者其他组织对行政机关所给予的行政处罚，享有陈述权、申辩权；对行政处罚不服的，有权依法申请行政复议或者提起行政诉讼。</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公民、法人或者其他组织因行政机关违法给予行政处罚受到损害的，有权依法提出赔偿要求。</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4-2.【部门规章】《住房和城乡建设行政处罚程序规定》（2022年建设部令第55号）第二十一条：行政处罚决定作出前，执法机关应当制作行政处罚意见告知文书，告知当事人拟作出的行政处罚内容及事实、理由、依据以及当事人依法享有的陈述权、申辩权。拟作出的行政处罚属于听证范围的，还应当告知当事人有要求听证的权利。第二十二条：执法机关必须充分听取当事人的意见，对当事人提出的事实、理由和证据进行复核，并制作书面复核意见。当事人提出的事实、理由或者证据成立的，执法机关应当予以采纳，不得因当事人陈述、申辩而给予更重的处罚。当事人自行政处罚意见告知文书送达之日起五日内，未行使陈述权、申辩权，视为放弃此权利。</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5-1.【法律】《中华人民共和国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5-2.【部门规章】《住房和城乡建设行政处罚程序规定》（2022年建设部令第55号）第二十七条：执法机关对当事人作出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执法机关名称和作出决定的日期。行政处罚决定书必须盖有作出行政处罚决定的执法机关的印章。</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6-1.【法律】《中华人民共和国行政处罚法》第六十一条：行政处罚决定书应当在宣告后当场交付当事人；当事人不在场的，行政机关应当在七日内依照《中华人民共和国民事诉讼法》的有关规定，将行政处罚决定书送达当事人。</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当事人同意并签订确认书的，行政机关可以采用传真、电子邮件等方式，将行政处罚决定书等送达当事人。</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6-2.【部门规章】《住房和城乡建设行政处罚程序规定》（2022年建设部令第55号）第三十五条：执法机关应当依照《中华人民共和国行政处罚法》《中华人民共和国民事诉讼法》的有关规定送达行政处罚意见告知文书和行政处罚决定书。执法机关送达行政处罚意见告知文书或者行政处罚决定书，应当直接送交受送达人，由受送达人在送达回证上签名或者盖章，并注明签收日期。签收日期为送达日期。受送达人拒绝接收行政处罚意见告知文书或者行政处罚决定书的，送达人可以邀请有关基层组织或者所在单位的代表到场见证，在送达回证上注明拒收事由和日期，由送达人、见证人签名或者盖章，把行政处罚意见告知文书或者行政处罚决定书留在受送达人的住所；也可以将行政处罚意见告知文书或者行政处罚决定书留在受送达人的住所，并采取拍照、录像等方式记录送达过程，即视为送达。第三十六条：　行政处罚意见告知文书或者行政处罚决定书直接送达有困难的，按照下列方式送达：（一）委托当地执法机关代为送达的，依照本规定第三十五条执行；（二）邮寄送达的，交由邮政企业邮寄。挂号回执上注明的收件日期或者通过中国邮政网站等查询到的收件日期为送达日期。受送达人下落不明，或者采用本章其他方式无法送达的，执法机关可以通过本机关或者本级人民政府网站公告送达，也可以根据需要在当地主要新闻媒体公告或者在受送达人住所地、经营场所公告送达。第三十七条：当事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当事人应当在五日内书面告知执法机关。当事人同意并签订确认书的，执法机关可以采取相应电子方式送达，并通过拍照、截屏、录音、录像等方式予以记录，传真、电子邮件、即时通讯信息等到达受送达人特定系统的日期为送达日期。</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7-1.【法律】《中华人民共和国行政处罚法》第六十六条：行政处罚决定依法作出后，当事人应当在行政处罚决定书载明的期限内，予以履行。</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当事人确有经济困难，需要延期或者分期缴纳罚款的，经当事人申请和行政机关批准，可以暂缓或者分期缴纳。</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7-2.【部门规章】《住房和城乡建设行政处罚程序规定》（2022年建设部令第55号）第三十八条：当事人不履行行政处罚决定，执法机关可以依法强制执行或者申请人民法院强制执行。</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8-1.【法律】《中华人民共和国行政处罚法》第七十五条：行政机关应当建立健全对行政处罚的监督制度。县级以上人民政府应当定期组织开展行政执法评议、考核，加强对行政处罚的监督检查，规范和保障行政处罚的实施。</w:t>
            </w:r>
            <w:r>
              <w:rPr>
                <w:rFonts w:hint="eastAsia" w:ascii="仿宋_GB2312" w:hAnsi="仿宋_GB2312" w:eastAsia="仿宋_GB2312" w:cs="仿宋_GB2312"/>
                <w:i w:val="0"/>
                <w:iCs w:val="0"/>
                <w:color w:val="auto"/>
                <w:kern w:val="0"/>
                <w:sz w:val="20"/>
                <w:szCs w:val="20"/>
                <w:highlight w:val="none"/>
                <w:u w:val="none"/>
                <w:lang w:val="en-US" w:eastAsia="zh-CN" w:bidi="ar"/>
              </w:rPr>
              <w:br w:type="textWrapping"/>
            </w:r>
            <w:r>
              <w:rPr>
                <w:rFonts w:hint="eastAsia" w:ascii="仿宋_GB2312" w:hAnsi="仿宋_GB2312" w:eastAsia="仿宋_GB2312" w:cs="仿宋_GB2312"/>
                <w:i w:val="0"/>
                <w:iCs w:val="0"/>
                <w:color w:val="auto"/>
                <w:kern w:val="0"/>
                <w:sz w:val="20"/>
                <w:szCs w:val="20"/>
                <w:highlight w:val="none"/>
                <w:u w:val="none"/>
                <w:lang w:val="en-US" w:eastAsia="zh-CN" w:bidi="ar"/>
              </w:rPr>
              <w:t>8-2.【部门规章】《住房和城乡建设行政处罚程序规定》（2022年建设部令第55号）第四十二条：执法机关从事行政处罚活动，应当自觉接受上级执法机关或者有关机关的监督管理。上级执法机关或者有关机关发现下级执法机关违法违规实施行政处罚的，应当依法责令改正，对直接负责的主管人员和有关执法人员给予处分。</w:t>
            </w:r>
          </w:p>
        </w:tc>
        <w:tc>
          <w:tcPr>
            <w:tcW w:w="2969" w:type="dxa"/>
            <w:shd w:val="clear" w:color="auto" w:fill="FFFFFF"/>
            <w:noWrap w:val="0"/>
            <w:tcMar>
              <w:top w:w="57" w:type="dxa"/>
              <w:left w:w="57" w:type="dxa"/>
              <w:bottom w:w="57" w:type="dxa"/>
              <w:right w:w="57"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0"/>
                <w:szCs w:val="20"/>
                <w:highlight w:val="none"/>
                <w:u w:val="none"/>
                <w:lang w:val="en-US" w:eastAsia="zh-CN" w:bidi="ar-SA"/>
              </w:rPr>
            </w:pPr>
            <w:r>
              <w:rPr>
                <w:rFonts w:hint="eastAsia" w:ascii="仿宋_GB2312" w:hAnsi="仿宋_GB2312" w:eastAsia="仿宋_GB2312" w:cs="仿宋_GB2312"/>
                <w:i w:val="0"/>
                <w:iCs w:val="0"/>
                <w:color w:val="000000"/>
                <w:kern w:val="0"/>
                <w:sz w:val="20"/>
                <w:szCs w:val="20"/>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1.没有法律和事实依据实施行政处罚的；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2.行政处罚显失公正的；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3.对应当予以制止和处罚的违法行为不予制止、处罚，致使公民、法人或者其他组织的合法权益、公共利益和社会秩序遭受损害的；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4.擅自改变行政处罚种类、幅度的；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5.因处罚不当给当事人造成损失的；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6.不具备行政执法资格实施行政处罚的；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7.违反法定的行政处罚程序的；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9.在行政处罚过程中发生腐败行为的；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11.其他违反法律法规规章文件规定的行为。</w:t>
            </w:r>
          </w:p>
        </w:tc>
        <w:tc>
          <w:tcPr>
            <w:tcW w:w="4161" w:type="dxa"/>
            <w:shd w:val="clear" w:color="auto" w:fill="FFFFFF"/>
            <w:noWrap w:val="0"/>
            <w:tcMar>
              <w:top w:w="57" w:type="dxa"/>
              <w:left w:w="57" w:type="dxa"/>
              <w:bottom w:w="57" w:type="dxa"/>
              <w:right w:w="57" w:type="dxa"/>
            </w:tcMar>
            <w:vAlign w:val="center"/>
          </w:tcPr>
          <w:p>
            <w:pPr>
              <w:keepNext w:val="0"/>
              <w:keepLines w:val="0"/>
              <w:widowControl/>
              <w:suppressLineNumbers w:val="0"/>
              <w:jc w:val="both"/>
              <w:textAlignment w:val="center"/>
              <w:rPr>
                <w:rFonts w:hint="eastAsia" w:ascii="仿宋_GB2312" w:hAnsi="仿宋_GB2312" w:eastAsia="仿宋_GB2312" w:cs="仿宋_GB2312"/>
                <w:i w:val="0"/>
                <w:iCs w:val="0"/>
                <w:color w:val="000000"/>
                <w:kern w:val="2"/>
                <w:sz w:val="20"/>
                <w:szCs w:val="20"/>
                <w:highlight w:val="none"/>
                <w:u w:val="none"/>
                <w:lang w:val="en-US" w:eastAsia="zh-CN" w:bidi="ar-SA"/>
              </w:rPr>
            </w:pPr>
            <w:r>
              <w:rPr>
                <w:rFonts w:hint="eastAsia" w:ascii="仿宋_GB2312" w:hAnsi="仿宋_GB2312" w:eastAsia="仿宋_GB2312" w:cs="仿宋_GB2312"/>
                <w:i w:val="0"/>
                <w:iCs w:val="0"/>
                <w:color w:val="000000"/>
                <w:kern w:val="0"/>
                <w:sz w:val="20"/>
                <w:szCs w:val="20"/>
                <w:highlight w:val="none"/>
                <w:u w:val="none"/>
                <w:lang w:val="en-US" w:eastAsia="zh-CN" w:bidi="ar"/>
              </w:rPr>
              <w:t>1.《中华人民共和国行政处罚法》    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（一）没有法定的行政处罚依据的；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（二）擅自改变行政处罚种类、幅度的；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（三）违反法定的行政处罚程序的；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（四）违反本法第十八条关于委托处罚的规定的。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2.同1.</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3.同1.</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4.同1.</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5.《中华人民共和国行政处罚法》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6.同5.</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7.《中华人民共和国公务员法》  第九章第五十三条 公务员必须遵守纪律，不得有下列行为：（七）贪污、行贿、受贿，利用职务之便为自己或者他人谋取私利。</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8.同2.</w:t>
            </w:r>
          </w:p>
        </w:tc>
        <w:tc>
          <w:tcPr>
            <w:tcW w:w="1170"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kern w:val="2"/>
                <w:sz w:val="20"/>
                <w:szCs w:val="20"/>
                <w:highlight w:val="none"/>
                <w:lang w:val="en-US" w:eastAsia="zh-CN" w:bidi="ar-SA"/>
              </w:rPr>
            </w:pPr>
            <w:r>
              <w:rPr>
                <w:rFonts w:hint="eastAsia" w:ascii="仿宋_GB2312" w:hAnsi="仿宋_GB2312" w:eastAsia="仿宋_GB2312" w:cs="仿宋_GB2312"/>
                <w:i w:val="0"/>
                <w:iCs w:val="0"/>
                <w:color w:val="000000"/>
                <w:kern w:val="0"/>
                <w:sz w:val="20"/>
                <w:szCs w:val="20"/>
                <w:highlight w:val="none"/>
                <w:u w:val="none"/>
                <w:lang w:val="en-US" w:eastAsia="zh-CN" w:bidi="ar"/>
              </w:rPr>
              <w:t>法律法规规定的免责情形及县委、县人民政府有关文件中明确的免责情形。</w:t>
            </w: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88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highlight w:val="none"/>
                <w:lang w:val="en-US" w:eastAsia="zh-CN" w:bidi="ar"/>
              </w:rPr>
            </w:pP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lang w:eastAsia="zh-CN"/>
              </w:rPr>
            </w:pP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rPr>
            </w:pP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highlight w:val="none"/>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lang w:val="en-US" w:eastAsia="zh-CN"/>
              </w:rPr>
            </w:pP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highlight w:val="none"/>
              </w:rPr>
            </w:pPr>
          </w:p>
        </w:tc>
        <w:tc>
          <w:tcPr>
            <w:tcW w:w="2939"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c>
          <w:tcPr>
            <w:tcW w:w="2730"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c>
          <w:tcPr>
            <w:tcW w:w="3811"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4161" w:type="dxa"/>
            <w:shd w:val="clear" w:color="auto" w:fill="FFFFFF"/>
            <w:noWrap w:val="0"/>
            <w:tcMar>
              <w:top w:w="57" w:type="dxa"/>
              <w:left w:w="57" w:type="dxa"/>
              <w:bottom w:w="57" w:type="dxa"/>
              <w:right w:w="57" w:type="dxa"/>
            </w:tcMar>
            <w:vAlign w:val="center"/>
          </w:tcPr>
          <w:p>
            <w:pPr>
              <w:pStyle w:val="6"/>
              <w:rPr>
                <w:rFonts w:hint="eastAsia" w:ascii="仿宋_GB2312" w:hAnsi="仿宋_GB2312" w:eastAsia="仿宋_GB2312" w:cs="仿宋_GB2312"/>
                <w:color w:val="auto"/>
                <w:sz w:val="20"/>
                <w:szCs w:val="20"/>
                <w:highlight w:val="none"/>
                <w:lang w:val="en-US"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88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highlight w:val="none"/>
                <w:lang w:val="en-US" w:eastAsia="zh-CN" w:bidi="ar"/>
              </w:rPr>
            </w:pP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lang w:eastAsia="zh-CN"/>
              </w:rPr>
            </w:pP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rPr>
            </w:pP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highlight w:val="none"/>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lang w:val="en-US" w:eastAsia="zh-CN"/>
              </w:rPr>
            </w:pP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highlight w:val="none"/>
              </w:rPr>
            </w:pPr>
          </w:p>
        </w:tc>
        <w:tc>
          <w:tcPr>
            <w:tcW w:w="2939"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c>
          <w:tcPr>
            <w:tcW w:w="2730"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c>
          <w:tcPr>
            <w:tcW w:w="3811"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4161" w:type="dxa"/>
            <w:shd w:val="clear" w:color="auto" w:fill="FFFFFF"/>
            <w:noWrap w:val="0"/>
            <w:tcMar>
              <w:top w:w="57" w:type="dxa"/>
              <w:left w:w="57" w:type="dxa"/>
              <w:bottom w:w="57" w:type="dxa"/>
              <w:right w:w="57" w:type="dxa"/>
            </w:tcMar>
            <w:vAlign w:val="center"/>
          </w:tcPr>
          <w:p>
            <w:pPr>
              <w:pStyle w:val="6"/>
              <w:rPr>
                <w:rFonts w:hint="eastAsia" w:ascii="仿宋_GB2312" w:hAnsi="仿宋_GB2312" w:eastAsia="仿宋_GB2312" w:cs="仿宋_GB2312"/>
                <w:color w:val="auto"/>
                <w:sz w:val="20"/>
                <w:szCs w:val="20"/>
                <w:highlight w:val="none"/>
                <w:lang w:val="en-US"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13887"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color w:val="auto"/>
                <w:kern w:val="0"/>
                <w:sz w:val="20"/>
                <w:szCs w:val="20"/>
                <w:highlight w:val="none"/>
                <w:lang w:val="en-US" w:eastAsia="zh-CN" w:bidi="ar"/>
              </w:rPr>
            </w:pP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lang w:eastAsia="zh-CN"/>
              </w:rPr>
            </w:pP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auto"/>
                <w:sz w:val="20"/>
                <w:szCs w:val="20"/>
                <w:highlight w:val="none"/>
              </w:rPr>
            </w:pP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auto"/>
                <w:kern w:val="2"/>
                <w:sz w:val="20"/>
                <w:szCs w:val="20"/>
                <w:highlight w:val="none"/>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lang w:val="en-US" w:eastAsia="zh-CN"/>
              </w:rPr>
            </w:pP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color w:val="auto"/>
                <w:sz w:val="20"/>
                <w:szCs w:val="20"/>
                <w:highlight w:val="none"/>
              </w:rPr>
            </w:pPr>
          </w:p>
        </w:tc>
        <w:tc>
          <w:tcPr>
            <w:tcW w:w="2939"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c>
          <w:tcPr>
            <w:tcW w:w="2730"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c>
          <w:tcPr>
            <w:tcW w:w="3811" w:type="dxa"/>
            <w:vMerge w:val="continue"/>
            <w:shd w:val="clear" w:color="auto" w:fill="FFFFFF"/>
            <w:noWrap w:val="0"/>
            <w:tcMar>
              <w:top w:w="57" w:type="dxa"/>
              <w:left w:w="57" w:type="dxa"/>
              <w:bottom w:w="57" w:type="dxa"/>
              <w:right w:w="57" w:type="dxa"/>
            </w:tcMar>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auto"/>
                <w:kern w:val="0"/>
                <w:sz w:val="20"/>
                <w:szCs w:val="20"/>
                <w:highlight w:val="none"/>
                <w:u w:val="none"/>
                <w:lang w:val="en-US" w:eastAsia="zh-CN" w:bidi="ar"/>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4161" w:type="dxa"/>
            <w:shd w:val="clear" w:color="auto" w:fill="FFFFFF"/>
            <w:noWrap w:val="0"/>
            <w:tcMar>
              <w:top w:w="57" w:type="dxa"/>
              <w:left w:w="57" w:type="dxa"/>
              <w:bottom w:w="57" w:type="dxa"/>
              <w:right w:w="57" w:type="dxa"/>
            </w:tcMar>
            <w:vAlign w:val="center"/>
          </w:tcPr>
          <w:p>
            <w:pPr>
              <w:pStyle w:val="6"/>
              <w:rPr>
                <w:rFonts w:hint="eastAsia" w:ascii="仿宋_GB2312" w:hAnsi="仿宋_GB2312" w:eastAsia="仿宋_GB2312" w:cs="仿宋_GB2312"/>
                <w:color w:val="auto"/>
                <w:sz w:val="20"/>
                <w:szCs w:val="20"/>
                <w:highlight w:val="none"/>
                <w:lang w:val="en-US"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cantSplit/>
          <w:trHeight w:val="5531" w:hRule="atLeast"/>
        </w:trPr>
        <w:tc>
          <w:tcPr>
            <w:tcW w:w="527" w:type="dxa"/>
            <w:shd w:val="clear" w:color="auto" w:fill="FFFFFF"/>
            <w:noWrap w:val="0"/>
            <w:tcMar>
              <w:top w:w="57" w:type="dxa"/>
              <w:left w:w="57" w:type="dxa"/>
              <w:bottom w:w="57" w:type="dxa"/>
              <w:right w:w="57" w:type="dxa"/>
            </w:tcMar>
            <w:vAlign w:val="center"/>
          </w:tcPr>
          <w:p>
            <w:pPr>
              <w:adjustRightInd w:val="0"/>
              <w:snapToGrid w:val="0"/>
              <w:spacing w:line="300" w:lineRule="exact"/>
              <w:jc w:val="center"/>
              <w:textAlignment w:val="center"/>
              <w:rPr>
                <w:rFonts w:hint="eastAsia" w:ascii="仿宋_GB2312" w:hAnsi="仿宋_GB2312" w:eastAsia="仿宋_GB2312" w:cs="仿宋_GB2312"/>
                <w:kern w:val="0"/>
                <w:sz w:val="20"/>
                <w:szCs w:val="20"/>
                <w:highlight w:val="none"/>
                <w:lang w:val="en-US" w:eastAsia="zh-CN" w:bidi="ar"/>
              </w:rPr>
            </w:pPr>
          </w:p>
        </w:tc>
        <w:tc>
          <w:tcPr>
            <w:tcW w:w="457"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sz w:val="20"/>
                <w:szCs w:val="20"/>
                <w:highlight w:val="none"/>
                <w:lang w:eastAsia="zh-CN"/>
              </w:rPr>
            </w:pPr>
          </w:p>
        </w:tc>
        <w:tc>
          <w:tcPr>
            <w:tcW w:w="480" w:type="dxa"/>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sz w:val="20"/>
                <w:szCs w:val="20"/>
                <w:highlight w:val="none"/>
              </w:rPr>
            </w:pPr>
          </w:p>
        </w:tc>
        <w:tc>
          <w:tcPr>
            <w:tcW w:w="600" w:type="dxa"/>
            <w:shd w:val="clear" w:color="auto" w:fill="FFFFFF"/>
            <w:noWrap w:val="0"/>
            <w:tcMar>
              <w:top w:w="57" w:type="dxa"/>
              <w:left w:w="57" w:type="dxa"/>
              <w:bottom w:w="57" w:type="dxa"/>
              <w:right w:w="57" w:type="dxa"/>
            </w:tcMar>
            <w:vAlign w:val="center"/>
          </w:tcPr>
          <w:p>
            <w:pPr>
              <w:adjustRightInd w:val="0"/>
              <w:snapToGrid w:val="0"/>
              <w:spacing w:line="260" w:lineRule="exact"/>
              <w:jc w:val="left"/>
              <w:rPr>
                <w:rFonts w:hint="eastAsia" w:ascii="仿宋_GB2312" w:hAnsi="仿宋_GB2312" w:eastAsia="仿宋_GB2312" w:cs="仿宋_GB2312"/>
                <w:b w:val="0"/>
                <w:bCs w:val="0"/>
                <w:color w:val="000000"/>
                <w:kern w:val="2"/>
                <w:sz w:val="20"/>
                <w:szCs w:val="20"/>
                <w:highlight w:val="none"/>
                <w:lang w:val="en-US" w:eastAsia="zh-CN" w:bidi="ar-SA"/>
              </w:rPr>
            </w:pPr>
          </w:p>
        </w:tc>
        <w:tc>
          <w:tcPr>
            <w:tcW w:w="479" w:type="dxa"/>
            <w:shd w:val="clear" w:color="auto" w:fill="FFFFFF"/>
            <w:noWrap w:val="0"/>
            <w:tcMar>
              <w:top w:w="57" w:type="dxa"/>
              <w:left w:w="57" w:type="dxa"/>
              <w:bottom w:w="57" w:type="dxa"/>
              <w:right w:w="57" w:type="dxa"/>
            </w:tcMar>
            <w:vAlign w:val="center"/>
          </w:tcPr>
          <w:p>
            <w:pPr>
              <w:widowControl/>
              <w:adjustRightInd w:val="0"/>
              <w:snapToGrid w:val="0"/>
              <w:spacing w:line="300" w:lineRule="exact"/>
              <w:rPr>
                <w:rFonts w:hint="eastAsia" w:ascii="仿宋_GB2312" w:hAnsi="仿宋_GB2312" w:eastAsia="仿宋_GB2312" w:cs="仿宋_GB2312"/>
                <w:snapToGrid w:val="0"/>
                <w:sz w:val="20"/>
                <w:szCs w:val="20"/>
                <w:highlight w:val="none"/>
                <w:lang w:val="en-US" w:eastAsia="zh-CN"/>
              </w:rPr>
            </w:pPr>
          </w:p>
        </w:tc>
        <w:tc>
          <w:tcPr>
            <w:tcW w:w="721" w:type="dxa"/>
            <w:shd w:val="clear" w:color="auto" w:fill="FFFFFF"/>
            <w:noWrap w:val="0"/>
            <w:tcMar>
              <w:top w:w="57" w:type="dxa"/>
              <w:left w:w="57" w:type="dxa"/>
              <w:bottom w:w="57" w:type="dxa"/>
              <w:right w:w="57"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snapToGrid w:val="0"/>
                <w:sz w:val="20"/>
                <w:szCs w:val="20"/>
                <w:highlight w:val="none"/>
              </w:rPr>
            </w:pPr>
          </w:p>
        </w:tc>
        <w:tc>
          <w:tcPr>
            <w:tcW w:w="2939" w:type="dxa"/>
            <w:vMerge w:val="continue"/>
            <w:shd w:val="clear" w:color="auto" w:fill="FFFFFF"/>
            <w:noWrap w:val="0"/>
            <w:tcMar>
              <w:top w:w="57" w:type="dxa"/>
              <w:left w:w="57" w:type="dxa"/>
              <w:bottom w:w="57" w:type="dxa"/>
              <w:right w:w="57" w:type="dxa"/>
            </w:tcMar>
            <w:vAlign w:val="center"/>
          </w:tcPr>
          <w:p>
            <w:pPr>
              <w:adjustRightInd w:val="0"/>
              <w:snapToGrid w:val="0"/>
              <w:spacing w:line="320" w:lineRule="exact"/>
              <w:jc w:val="left"/>
              <w:rPr>
                <w:rFonts w:hint="eastAsia" w:ascii="仿宋_GB2312" w:hAnsi="仿宋_GB2312" w:eastAsia="仿宋_GB2312" w:cs="仿宋_GB2312"/>
                <w:b w:val="0"/>
                <w:bCs w:val="0"/>
                <w:color w:val="000000"/>
                <w:kern w:val="0"/>
                <w:sz w:val="20"/>
                <w:szCs w:val="20"/>
                <w:highlight w:val="none"/>
              </w:rPr>
            </w:pPr>
          </w:p>
        </w:tc>
        <w:tc>
          <w:tcPr>
            <w:tcW w:w="2730" w:type="dxa"/>
            <w:vMerge w:val="continue"/>
            <w:shd w:val="clear" w:color="auto" w:fill="FFFFFF"/>
            <w:noWrap w:val="0"/>
            <w:tcMar>
              <w:top w:w="57" w:type="dxa"/>
              <w:left w:w="57" w:type="dxa"/>
              <w:bottom w:w="57" w:type="dxa"/>
              <w:right w:w="57" w:type="dxa"/>
            </w:tcMar>
            <w:vAlign w:val="center"/>
          </w:tcPr>
          <w:p>
            <w:pPr>
              <w:adjustRightInd w:val="0"/>
              <w:snapToGrid w:val="0"/>
              <w:spacing w:line="257" w:lineRule="exact"/>
              <w:jc w:val="left"/>
              <w:rPr>
                <w:rFonts w:hint="eastAsia" w:ascii="仿宋_GB2312" w:hAnsi="仿宋_GB2312" w:eastAsia="仿宋_GB2312" w:cs="仿宋_GB2312"/>
                <w:b w:val="0"/>
                <w:bCs w:val="0"/>
                <w:color w:val="000000"/>
                <w:sz w:val="20"/>
                <w:szCs w:val="20"/>
                <w:highlight w:val="none"/>
              </w:rPr>
            </w:pPr>
          </w:p>
        </w:tc>
        <w:tc>
          <w:tcPr>
            <w:tcW w:w="3811" w:type="dxa"/>
            <w:vMerge w:val="continue"/>
            <w:shd w:val="clear" w:color="auto" w:fill="FFFFFF"/>
            <w:noWrap w:val="0"/>
            <w:tcMar>
              <w:top w:w="57" w:type="dxa"/>
              <w:left w:w="57" w:type="dxa"/>
              <w:bottom w:w="57" w:type="dxa"/>
              <w:right w:w="57" w:type="dxa"/>
            </w:tcMar>
            <w:vAlign w:val="center"/>
          </w:tcPr>
          <w:p>
            <w:pPr>
              <w:adjustRightInd w:val="0"/>
              <w:snapToGrid w:val="0"/>
              <w:spacing w:line="320" w:lineRule="exact"/>
              <w:ind w:firstLine="390" w:firstLineChars="0"/>
              <w:jc w:val="left"/>
              <w:rPr>
                <w:rFonts w:hint="eastAsia" w:ascii="仿宋_GB2312" w:hAnsi="仿宋_GB2312" w:eastAsia="仿宋_GB2312" w:cs="仿宋_GB2312"/>
                <w:b w:val="0"/>
                <w:bCs w:val="0"/>
                <w:color w:val="000000"/>
                <w:kern w:val="0"/>
                <w:sz w:val="20"/>
                <w:szCs w:val="20"/>
                <w:highlight w:val="none"/>
                <w:lang w:val="en-US" w:eastAsia="zh-CN" w:bidi="ar-SA"/>
              </w:rPr>
            </w:pPr>
          </w:p>
        </w:tc>
        <w:tc>
          <w:tcPr>
            <w:tcW w:w="2969"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highlight w:val="none"/>
                <w:lang w:eastAsia="zh-CN"/>
              </w:rPr>
            </w:pPr>
          </w:p>
        </w:tc>
        <w:tc>
          <w:tcPr>
            <w:tcW w:w="4161" w:type="dxa"/>
            <w:shd w:val="clear" w:color="auto" w:fill="FFFFFF"/>
            <w:noWrap w:val="0"/>
            <w:tcMar>
              <w:top w:w="57" w:type="dxa"/>
              <w:left w:w="57" w:type="dxa"/>
              <w:bottom w:w="57" w:type="dxa"/>
              <w:right w:w="57" w:type="dxa"/>
            </w:tcMar>
            <w:vAlign w:val="center"/>
          </w:tcPr>
          <w:p>
            <w:pPr>
              <w:pStyle w:val="6"/>
              <w:rPr>
                <w:rFonts w:hint="eastAsia" w:ascii="仿宋_GB2312" w:hAnsi="仿宋_GB2312" w:eastAsia="仿宋_GB2312" w:cs="仿宋_GB2312"/>
                <w:sz w:val="20"/>
                <w:szCs w:val="20"/>
                <w:highlight w:val="none"/>
                <w:lang w:val="en-US" w:eastAsia="zh-CN"/>
              </w:rPr>
            </w:pPr>
          </w:p>
        </w:tc>
        <w:tc>
          <w:tcPr>
            <w:tcW w:w="1170"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highlight w:val="none"/>
                <w:lang w:eastAsia="zh-CN"/>
              </w:rPr>
            </w:pPr>
          </w:p>
        </w:tc>
        <w:tc>
          <w:tcPr>
            <w:tcW w:w="737" w:type="dxa"/>
            <w:shd w:val="clear" w:color="auto" w:fill="FFFFFF"/>
            <w:noWrap w:val="0"/>
            <w:tcMar>
              <w:top w:w="57" w:type="dxa"/>
              <w:left w:w="57" w:type="dxa"/>
              <w:bottom w:w="57" w:type="dxa"/>
              <w:right w:w="57" w:type="dxa"/>
            </w:tcMar>
            <w:vAlign w:val="center"/>
          </w:tcPr>
          <w:p>
            <w:pPr>
              <w:adjustRightInd w:val="0"/>
              <w:snapToGrid w:val="0"/>
              <w:spacing w:line="300" w:lineRule="exact"/>
              <w:rPr>
                <w:rFonts w:hint="eastAsia" w:ascii="仿宋_GB2312" w:hAnsi="仿宋_GB2312" w:eastAsia="仿宋_GB2312" w:cs="仿宋_GB2312"/>
                <w:sz w:val="20"/>
                <w:szCs w:val="20"/>
                <w:highlight w:val="none"/>
                <w:lang w:val="en-US" w:eastAsia="zh-CN"/>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10</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行政处罚</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对违反规定擅自占用和损坏乡村公共设施行为的处罚</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highlight w:val="none"/>
                <w:lang w:val="en-US" w:eastAsia="zh-CN" w:bidi="ar-SA"/>
              </w:rPr>
            </w:pPr>
            <w:r>
              <w:rPr>
                <w:rFonts w:hint="eastAsia" w:ascii="仿宋_GB2312" w:hAnsi="仿宋_GB2312" w:eastAsia="仿宋_GB2312" w:cs="仿宋_GB2312"/>
                <w:snapToGrid w:val="0"/>
                <w:sz w:val="20"/>
                <w:szCs w:val="20"/>
                <w:highlight w:val="none"/>
                <w:lang w:val="en-US" w:eastAsia="zh-CN"/>
              </w:rPr>
              <w:t>三江侗族自治县</w:t>
            </w:r>
            <w:r>
              <w:rPr>
                <w:rFonts w:hint="eastAsia" w:ascii="仿宋_GB2312" w:hAnsi="仿宋_GB2312" w:eastAsia="仿宋_GB2312" w:cs="仿宋_GB2312"/>
                <w:snapToGrid w:val="0"/>
                <w:sz w:val="20"/>
                <w:szCs w:val="20"/>
                <w:highlight w:val="none"/>
                <w:lang w:eastAsia="zh-CN"/>
              </w:rPr>
              <w:t>古宜镇</w:t>
            </w:r>
            <w:r>
              <w:rPr>
                <w:rFonts w:hint="eastAsia" w:ascii="仿宋_GB2312" w:hAnsi="仿宋_GB2312" w:eastAsia="仿宋_GB2312" w:cs="仿宋_GB2312"/>
                <w:snapToGrid w:val="0"/>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jc w:val="left"/>
              <w:rPr>
                <w:rFonts w:hint="eastAsia" w:ascii="仿宋_GB2312" w:hAnsi="仿宋_GB2312" w:eastAsia="仿宋_GB2312" w:cs="仿宋_GB2312"/>
                <w:b w:val="0"/>
                <w:bCs w:val="0"/>
                <w:color w:val="000000"/>
                <w:kern w:val="0"/>
                <w:sz w:val="20"/>
                <w:szCs w:val="20"/>
                <w:highlight w:val="none"/>
                <w:lang w:val="en-US" w:eastAsia="zh-CN" w:bidi="ar-SA"/>
              </w:rPr>
            </w:pPr>
            <w:r>
              <w:rPr>
                <w:rFonts w:hint="eastAsia" w:ascii="仿宋_GB2312" w:hAnsi="仿宋_GB2312" w:eastAsia="仿宋_GB2312" w:cs="仿宋_GB2312"/>
                <w:b w:val="0"/>
                <w:bCs w:val="0"/>
                <w:color w:val="000000"/>
                <w:kern w:val="0"/>
                <w:sz w:val="20"/>
                <w:szCs w:val="20"/>
                <w:highlight w:val="none"/>
                <w:lang w:val="en-US" w:eastAsia="zh-CN" w:bidi="ar-SA"/>
              </w:rPr>
              <w:t>乡村建设综合服务中心（综合行政执法队）</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【地方性法规】《广西壮族自治区乡村规划建设管理条例》（2018年广西壮族自治区第十三届人民代表大会常务委员会公告第13号）第五十条第二款：任何单位和个人不得擅自占用和损坏乡村公共设施。</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第六十二条： 违反本条例第五十条第二款规定，擅自占用和损坏乡村公共设施的，由乡（镇）人民政府或者其委托的乡（镇）综合执法机构责令恢复原状，对单位可以处一千元以上一万元以下罚款，对个人可以处十元以上一百元以下罚款；造成损失的，应当依法承担赔偿责任。</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1.立案责任：根据日常监管和投诉情况，进行相关监督检查和核实，决定是否立案受理。</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2.调查取证责任：对立案的案件展开调查和取证，制作调查笔录，调查结束出具书面调查终结报告。在调查取证时，应由2名以上执法人员参加，并向当事人出示有效的行政执法证件，允许当事人辩解陈述。</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3.审查核实责任：按照有关规定对案件违法事实、证据、调查取证程序、法律适用、处罚种类和幅度、当事人陈述和申辩理由等方面进行审查，提出处理意见（主要证据不足时，以适当的方式补充调查）。</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4.告知责任：作出行政处罚决定前，制作《行政处罚告知书》送达当事人，告知违法事实及其享有的陈述、申辩等权利。符合听证规定的，制作并送达《行政处罚听证告知书》。</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5.决定责任：作出行政处罚决定，制作行政处罚决定书。</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6.送达责任：行政处罚决定书应当在宣告后当场交付当事人；当事人不在场的，行政机关应当在七日内依照民事诉讼法的有关规定，将行政处罚决定书送达当事人。</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7.执行责任：监督当事人在决定的期限内，履行生效的行政处罚决定。当事人在法定期限内不申请行政复议或者提起行政诉讼，又不履行的，可依法采取申请人民法院强制执行。</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8.监督责任：对行政处罚决定执行情况进行监督检查。</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9.其他法律法规规章文件规定应履行的责任。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1-1.【法律】《中华人民共和国行政处罚法》第四十条：公民、法人或者其他组织违反行政管理秩序的行为，依法应当给予行政处罚的，行政机关必须查明事实；违法事实不清、证据不足的，不得给予行政处罚。</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1-2.【部门规章】《住房和城乡建设行政处罚程序规定》（2022年建设部令第55号）第十五条　执法机关对依据监督检查职权或者通过投诉、举报等途径发现的违法行为线索，应当在十五日内予以核查，情况复杂确实无法按期完成的，经本机关负责人批准，可以延长十日。经核查，符合下列条件的，应当予以立案：（一）有初步证据证明存在违法行为；（二）违法行为属于本机关管辖；（三）违法行为未超过行政处罚时效。立案应当填写立案审批表，附上相关材料，报本机关负责人批准。立案前核查或者监督检查过程中依法取得的证据材料，可以作为案件的证据使用。</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2-1.【法律】《中华人民共和国行政处罚法》第五十四条：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符合立案标准的，行政机关应当及时立案。</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2-2.【法律】《中华人民共和国行政处罚法》第四十二条：行政处罚应当由具有行政执法资格的执法人员实施。执法人员不得少于两人，法律另有规定的除外。</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执法人员应当文明执法，尊重和保护当事人合法权益。</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2-3.【部门规章】《住房和城乡建设行政处罚程序规定》（2022年建设部令第55号）第十六条：执法人员询问当事人及有关人员，应当个别进行并制作笔录，笔录经被询问人核对、修改差错、补充遗漏后，由被询问人逐页签名或者盖章。第十七条：执法人员收集、调取的书证、物证应当是原件、原物。调取原件、原物有困难的，可以提取复制件、影印件或者抄录件，也可以拍摄或者制作足以反映原件、原物外形或者内容的照片、录像。复制件、影印件、抄录件和照片、录像应当标明经核对与原件或者原物一致，并由证据提供人、执法人员签名或者盖章。提取物证应当有当事人在场，对所提取的物证应当开具物品清单，由执法人员和当事人签名或者盖章，各执一份。无法找到当事人，或者当事人在场确有困难、拒绝到场、拒绝签字的，执法人员可以邀请有关基层组织的代表或者无利害关系的其他人到场见证，也可以用录像等方式进行记录，依照有关规定提取物证。对违法嫌疑物品或者场所进行检查时，应当通知当事人在场，并制作现场笔录，载明时间、地点、事件等内容，由执法人员、当事人签名或者盖章。无法找到当事人，或者当事人在场确有困难、拒绝到场、拒绝签字的，应当用录像等方式记录检查过程并在现场笔录中注明。第十八条：为了查明案情，需要进行检测、检验、鉴定的，执法机关应当依法委托具备相应条件的机构进行。检测、检验、鉴定结果应当告知当事人。 执法机关因实施行政处罚的需要，可以向有关机关出具协助函，请求有关机关协助进行调查取证等。第十九条 ：执法机关查处违法行为过程中，在证据可能灭失或者以后难以取得的情况下，经本机关负责人批准，可以对证据先行登记保存。</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3-1.【法律】《中华人民共和国行政处罚法》第五十七条：调查终结，行政机关负责人应当对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行政机关负责人应当集体讨论决定。</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3-2.【部门规章】《住房和城乡建设行政处罚程序规定》（2022年建设部令第55号）第二十六条：执法机关负责人应当对案件调查结果进行审查，根据不同情况，分别作出如下决定：（一）确有应受行政处罚的违法行为的，根据情节轻重及具体情况，作出行政处罚决定；（二）违法行为轻微，依法可以不予行政处罚的，不予行政处罚；（三）违法事实不能成立的，不予行政处罚；（四）违法行为涉嫌犯罪的，移送司法机关。对情节复杂或者重大违法行为给予行政处罚，执法机关负责人应当集体讨论决定。</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4-1.【法律】《中华人民共和国行政处罚法》第七条：公民、法人或者其他组织对行政机关所给予的行政处罚，享有陈述权、申辩权；对行政处罚不服的，有权依法申请行政复议或者提起行政诉讼。</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公民、法人或者其他组织因行政机关违法给予行政处罚受到损害的，有权依法提出赔偿要求。</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4-2.【部门规章】《住房和城乡建设行政处罚程序规定》（2022年建设部令第55号）第二十一条：行政处罚决定作出前，执法机关应当制作行政处罚意见告知文书，告知当事人拟作出的行政处罚内容及事实、理由、依据以及当事人依法享有的陈述权、申辩权。拟作出的行政处罚属于听证范围的，还应当告知当事人有要求听证的权利。第二十二条：执法机关必须充分听取当事人的意见，对当事人提出的事实、理由和证据进行复核，并制作书面复核意见。当事人提出的事实、理由或者证据成立的，执法机关应当予以采纳，不得因当事人陈述、申辩而给予更重的处罚。当事人自行政处罚意见告知文书送达之日起五日内，未行使陈述权、申辩权，视为放弃此权利。</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5-1.【法律】《中华人民共和国行政处罚法》第五十九条：行政机关依照本法第五十七条的规定给予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行政机关名称和作出决定的日期。行政处罚决定书必须盖有作出行政处罚决定的行政机关的印章。</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5-2.【部门规章】《住房和城乡建设行政处罚程序规定》（2022年建设部令第55号）第二十七条：执法机关对当事人作出行政处罚，应当制作行政处罚决定书。行政处罚决定书应当载明下列事项：（一）当事人的姓名或者名称、地址；（二）违反法律、法规、规章的事实和证据；（三）行政处罚的种类和依据；（四）行政处罚的履行方式和期限；（五）申请行政复议、提起行政诉讼的途径和期限；（六）作出行政处罚决定的执法机关名称和作出决定的日期。行政处罚决定书必须盖有作出行政处罚决定的执法机关的印章。</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6-1.【法律】《中华人民共和国行政处罚法》第六十一条：行政处罚决定书应当在宣告后当场交付当事人；当事人不在场的，行政机关应当在七日内依照《中华人民共和国民事诉讼法》的有关规定，将行政处罚决定书送达当事人。</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当事人同意并签订确认书的，行政机关可以采用传真、电子邮件等方式，将行政处罚决定书等送达当事人。</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6-2.【部门规章】《住房和城乡建设行政处罚程序规定》（2022年建设部令第55号）第三十五条：执法机关应当依照《中华人民共和国行政处罚法》《中华人民共和国民事诉讼法》的有关规定送达行政处罚意见告知文书和行政处罚决定书。执法机关送达行政处罚意见告知文书或者行政处罚决定书，应当直接送交受送达人，由受送达人在送达回证上签名或者盖章，并注明签收日期。签收日期为送达日期。受送达人拒绝接收行政处罚意见告知文书或者行政处罚决定书的，送达人可以邀请有关基层组织或者所在单位的代表到场见证，在送达回证上注明拒收事由和日期，由送达人、见证人签名或者盖章，把行政处罚意见告知文书或者行政处罚决定书留在受送达人的住所；也可以将行政处罚意见告知文书或者行政处罚决定书留在受送达人的住所，并采取拍照、录像等方式记录送达过程，即视为送达。第三十六条：　行政处罚意见告知文书或者行政处罚决定书直接送达有困难的，按照下列方式送达：（一）委托当地执法机关代为送达的，依照本规定第三十五条执行；（二）邮寄送达的，交由邮政企业邮寄。挂号回执上注明的收件日期或者通过中国邮政网站等查询到的收件日期为送达日期。受送达人下落不明，或者采用本章其他方式无法送达的，执法机关可以通过本机关或者本级人民政府网站公告送达，也可以根据需要在当地主要新闻媒体公告或者在受送达人住所地、经营场所公告送达。第三十七条：当事人同意以电子方式送达的，应当签订确认书，准确提供用于接收行政处罚意见告知文书、行政处罚决定书和有关文书的传真号码、电子邮箱地址或者即时通讯账号，并提供特定系统发生故障时的备用联系方式。联系方式发生变更的，当事人应当在五日内书面告知执法机关。当事人同意并签订确认书的，执法机关可以采取相应电子方式送达，并通过拍照、截屏、录音、录像等方式予以记录，传真、电子邮件、即时通讯信息等到达受送达人特定系统的日期为送达日期。</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7-1.【法律】《中华人民共和国行政处罚法》第六十六条：行政处罚决定依法作出后，当事人应当在行政处罚决定书载明的期限内，予以履行。</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当事人确有经济困难，需要延期或者分期缴纳罚款的，经当事人申请和行政机关批准，可以暂缓或者分期缴纳。</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7-2.【部门规章】《住房和城乡建设行政处罚程序规定》（2022年建设部令第55号）第三十八条：当事人不履行行政处罚决定，执法机关可以依法强制执行或者申请人民法院强制执行。</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8-1.【法律】《中华人民共和国行政处罚法》第七十五条：行政机关应当建立健全对行政处罚的监督制度。县级以上人民政府应当定期组织开展行政执法评议、考核，加强对行政处罚的监督检查，规范和保障行政处罚的实施。</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8-2.【部门规章】《住房和城乡建设行政处罚程序规定》（2022年建设部令第55号）第四十二条：执法机关从事行政处罚活动，应当自觉接受上级执法机关或者有关机关的监督管理。上级执法机关或者有关机关发现下级执法机关违法违规实施行政处罚的，应当依法责令改正，对直接负责的主管人员和有关执法人员给予处分。</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i w:val="0"/>
                <w:iCs w:val="0"/>
                <w:color w:val="000000"/>
                <w:kern w:val="0"/>
                <w:sz w:val="20"/>
                <w:szCs w:val="20"/>
                <w:highlight w:val="none"/>
                <w:u w:val="none"/>
                <w:lang w:val="en-US" w:eastAsia="zh-CN" w:bidi="ar"/>
              </w:rPr>
              <w:t>因不履行或不正确履行行政职责，有下列情形的，行政机关及相关工作人员应承担相应责任：</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1.没有法律和事实依据实施行政处罚的；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2.行政处罚显失公正的；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3.对应当予以制止和处罚的违法行为不予制止、处罚，致使公民、法人或者其他组织的合法权益、公共利益和社会秩序遭受损害的；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4.擅自改变行政处罚种类、幅度的；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5.因处罚不当给当事人造成损失的；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6.不具备行政执法资格实施行政处罚的；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7.违反法定的行政处罚程序的；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8.符合听证条件，行政管理相对人要求听证，应予组织听证而不组织听证的；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9.在行政处罚过程中发生腐败行为的；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11.其他违反法律法规规章文件规定的行为。</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9" w:lineRule="exact"/>
              <w:rPr>
                <w:rFonts w:hint="eastAsia" w:ascii="仿宋_GB2312" w:hAnsi="仿宋_GB2312" w:eastAsia="仿宋_GB2312" w:cs="仿宋_GB2312"/>
                <w:snapToGrid w:val="0"/>
                <w:color w:val="000000"/>
                <w:kern w:val="2"/>
                <w:sz w:val="20"/>
                <w:szCs w:val="20"/>
                <w:highlight w:val="none"/>
                <w:lang w:val="en-US" w:eastAsia="zh-CN" w:bidi="ar-SA"/>
              </w:rPr>
            </w:pPr>
            <w:r>
              <w:rPr>
                <w:rFonts w:hint="eastAsia" w:ascii="仿宋_GB2312" w:hAnsi="仿宋_GB2312" w:eastAsia="仿宋_GB2312" w:cs="仿宋_GB2312"/>
                <w:i w:val="0"/>
                <w:iCs w:val="0"/>
                <w:color w:val="000000"/>
                <w:kern w:val="0"/>
                <w:sz w:val="20"/>
                <w:szCs w:val="20"/>
                <w:highlight w:val="none"/>
                <w:u w:val="none"/>
                <w:lang w:val="en-US" w:eastAsia="zh-CN" w:bidi="ar"/>
              </w:rPr>
              <w:t>1.《中华人民共和国行政处罚法》    第五十五条 行政机关实施行政处罚，有下列情形之一的，由上级行政机关或者有关部门责令改正，可以对直接负责的主管人员和其他直接责任人员依法给予行政处分：</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（一）没有法定的行政处罚依据的；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（二）擅自改变行政处罚种类、幅度的；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（三）违反法定的行政处罚程序的；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（四）违反本法第十八条关于委托处罚的规定的。</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2.同1.</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3.同1.</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4.同1.</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5.《中华人民共和国行政处罚法》  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6.同5.</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7.《中华人民共和国公务员法》  第九章第五十三条 公务员必须遵守纪律，不得有下列行为：（七）贪污、行贿、受贿，利用职务之便为自己或者他人谋取私利。</w:t>
            </w:r>
            <w:r>
              <w:rPr>
                <w:rFonts w:hint="eastAsia" w:ascii="仿宋_GB2312" w:hAnsi="仿宋_GB2312" w:eastAsia="仿宋_GB2312" w:cs="仿宋_GB2312"/>
                <w:i w:val="0"/>
                <w:iCs w:val="0"/>
                <w:color w:val="000000"/>
                <w:kern w:val="0"/>
                <w:sz w:val="20"/>
                <w:szCs w:val="20"/>
                <w:highlight w:val="none"/>
                <w:u w:val="none"/>
                <w:lang w:val="en-US" w:eastAsia="zh-CN" w:bidi="ar"/>
              </w:rPr>
              <w:br w:type="textWrapping"/>
            </w:r>
            <w:r>
              <w:rPr>
                <w:rFonts w:hint="eastAsia" w:ascii="仿宋_GB2312" w:hAnsi="仿宋_GB2312" w:eastAsia="仿宋_GB2312" w:cs="仿宋_GB2312"/>
                <w:i w:val="0"/>
                <w:iCs w:val="0"/>
                <w:color w:val="000000"/>
                <w:kern w:val="0"/>
                <w:sz w:val="20"/>
                <w:szCs w:val="20"/>
                <w:highlight w:val="none"/>
                <w:u w:val="none"/>
                <w:lang w:val="en-US" w:eastAsia="zh-CN" w:bidi="ar"/>
              </w:rPr>
              <w:t>8.同2.</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both"/>
              <w:textAlignment w:val="center"/>
              <w:rPr>
                <w:rFonts w:hint="eastAsia" w:ascii="仿宋_GB2312" w:hAnsi="仿宋_GB2312" w:eastAsia="仿宋_GB2312" w:cs="仿宋_GB2312"/>
                <w:i w:val="0"/>
                <w:iCs w:val="0"/>
                <w:color w:val="000000"/>
                <w:kern w:val="2"/>
                <w:sz w:val="20"/>
                <w:szCs w:val="20"/>
                <w:highlight w:val="none"/>
                <w:u w:val="none"/>
                <w:lang w:val="en-US" w:eastAsia="zh-CN" w:bidi="ar-SA"/>
              </w:rPr>
            </w:pPr>
            <w:r>
              <w:rPr>
                <w:rFonts w:hint="eastAsia" w:ascii="仿宋_GB2312" w:hAnsi="仿宋_GB2312" w:eastAsia="仿宋_GB2312" w:cs="仿宋_GB2312"/>
                <w:i w:val="0"/>
                <w:iCs w:val="0"/>
                <w:color w:val="000000"/>
                <w:kern w:val="0"/>
                <w:sz w:val="20"/>
                <w:szCs w:val="20"/>
                <w:highlight w:val="none"/>
                <w:u w:val="none"/>
                <w:lang w:val="en-US" w:eastAsia="zh-CN" w:bidi="ar"/>
              </w:rPr>
              <w:t>法律法规规定的免责情形及县委、县人民政府有关文件中明确的免责情形。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行政强制</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代为恢复植被和林业生产条件或代为补种树木</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highlight w:val="none"/>
                <w:lang w:val="en-US" w:eastAsia="zh-CN" w:bidi="ar-SA"/>
              </w:rPr>
            </w:pPr>
            <w:r>
              <w:rPr>
                <w:rFonts w:hint="eastAsia" w:ascii="仿宋_GB2312" w:hAnsi="仿宋_GB2312" w:eastAsia="仿宋_GB2312" w:cs="仿宋_GB2312"/>
                <w:snapToGrid w:val="0"/>
                <w:sz w:val="20"/>
                <w:szCs w:val="20"/>
                <w:highlight w:val="none"/>
                <w:lang w:val="en-US" w:eastAsia="zh-CN"/>
              </w:rPr>
              <w:t>三江侗族自治县</w:t>
            </w:r>
            <w:r>
              <w:rPr>
                <w:rFonts w:hint="eastAsia" w:ascii="仿宋_GB2312" w:hAnsi="仿宋_GB2312" w:eastAsia="仿宋_GB2312" w:cs="仿宋_GB2312"/>
                <w:snapToGrid w:val="0"/>
                <w:sz w:val="20"/>
                <w:szCs w:val="20"/>
                <w:highlight w:val="none"/>
                <w:lang w:eastAsia="zh-CN"/>
              </w:rPr>
              <w:t>古宜镇</w:t>
            </w:r>
            <w:r>
              <w:rPr>
                <w:rFonts w:hint="eastAsia" w:ascii="仿宋_GB2312" w:hAnsi="仿宋_GB2312" w:eastAsia="仿宋_GB2312" w:cs="仿宋_GB2312"/>
                <w:snapToGrid w:val="0"/>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b w:val="0"/>
                <w:bCs w:val="0"/>
                <w:color w:val="000000"/>
                <w:kern w:val="0"/>
                <w:sz w:val="20"/>
                <w:szCs w:val="20"/>
                <w:highlight w:val="none"/>
                <w:lang w:val="en-US" w:eastAsia="zh-CN" w:bidi="ar-SA"/>
              </w:rPr>
            </w:pPr>
            <w:r>
              <w:rPr>
                <w:rFonts w:hint="eastAsia" w:ascii="仿宋_GB2312" w:hAnsi="仿宋_GB2312" w:eastAsia="仿宋_GB2312" w:cs="仿宋_GB2312"/>
                <w:snapToGrid w:val="0"/>
                <w:sz w:val="20"/>
                <w:szCs w:val="20"/>
                <w:highlight w:val="none"/>
              </w:rPr>
              <w:t>林业工作站</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【法律】《中华人民共和国森林法》（2019年12月28日主席令第三十九号公布，2020年7月1日起施行)第八十一条　违反本法规定，有下列情形之一的，由县级以上人民政府林业主管部门依法组织代为履行，代为履行所需费用由违法者承担：（一）拒不恢复植被和林业生产条件，或者恢复植被和林业生产条件不符合国家有关规定；（二）拒不补种树木，或者补种不符合国家有关规定。    恢复植被和林业生产条件、树木补种的标准，由省级以上人民政府林业主管部门制定。</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 xml:space="preserve"> 1.审查催告责任 ：审查当事人是否逾期未履行义务；书面催告当事人履行义务的期限、方式（涉及金钱给付的，明确告知金额和给付方式）及享有的陈述权和申辩权，催告当事人履行义务。</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 xml:space="preserve">    2.决定责任（XXX处室站/科室/股、XXX局领导）：充分听取当事人提出的事实、理由和证据，进行记录和复核，无正当理由的，向本行政机关负责人报告，经批准作出代履行决定书并送达当事人。</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 xml:space="preserve">    3.代履行责任 ：代履行三日前，催告当事人履行，当事人履行的，停止代履行；代履行时到场监督；代履行完毕，到场监督的工作人员、代履行人和当事人或者见证人在执行文书上签名或者盖章。</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 xml:space="preserve">    4.追缴代履行费用责任 ：核算代履行费用，并向被履行单位追缴费用。</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 xml:space="preserve">    5.其他法律法规规章文件规定应履行的责任  。</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 xml:space="preserve"> 1.【法律】《中华人民共和国行政强制法》（2011年6月30日主席令第49号发布，2012年1月1日起施行）第三十五条 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 xml:space="preserve">    2.【法律】《中华人民共和国行政强制法》（2011年6月30日主席令第49号发布，2012年1月1日起施行）第五十条 行政机关依法作出要求当事人履行排除妨碍、恢复原状等义务的行政决定，当事人逾期不履行，经催告仍不履行，其后果已经或者将危害交通安全、造成环境污染或者破坏自然资源的，行政机关可以代履行，或者委托没有利害关系的第三人代履行。</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 xml:space="preserve">    3.【法律】《中华人民共和国行政强制法》（2011年6月30日主席令第49号发布，2012年1月1日起施行）第五十一条第一款 代履行应当遵守下列规定：（一）代履行前送达决定书，代履行决定书应当载明当事人的姓名或者名称、地址，代履行的理由和依据、方式和时间、标的、费用预算以及代履行人；（二）代履行三日前，催告当事人履行，当事人履行的，停止代履行；（三）代履行时，作出决定的行政机关应当派员到场监督；（四）代履行完毕，行政机关到场监督的工作人员、代履行人和当事人或者见证人应当在执行文书上签名或者盖章。</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 xml:space="preserve">    4.【法律】《中华人民共和国行政强制法》（2011年6月30日主席令第49号发布，2012年1月1日起施行）第五十一条第二款 代履行的费用按照成本合理确定，由当事人承担。但是，法律另有规定的除外。</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因不履行或不正确履行行政职责，有下列情形的，行政机关及相关工作人员应承担相应责任：</w:t>
            </w:r>
          </w:p>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1.无法定依据或者超越法定权限实施行政强制的  ）；</w:t>
            </w:r>
          </w:p>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2.违反法定程序实施行政强制的  ）；</w:t>
            </w:r>
          </w:p>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3.不具备行政执法资格实施行政强制的  ）；</w:t>
            </w:r>
          </w:p>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4.使用、丢失或损毁先行登记的财物，给行政相对人造成损失的  ）；</w:t>
            </w:r>
          </w:p>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5.在实施行政强制过程中滥用职权、玩忽职守、徇私舞弊的  ）；</w:t>
            </w:r>
          </w:p>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6.利用行政强制权为单位或者个人谋取利益的  ）；</w:t>
            </w:r>
          </w:p>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7.其他违反法律法规规章文件规定的行为  ）.</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1.【法律】《中华人民共和国行政强制法》（2011年6月30日主席令第49号发布，2012年1月1日起施行）第六十一条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行的；（五）对居民生活采取停止供水、供电、供热、供燃气等方式迫使当事人履行相关行政决定的；（六）有其他违法实施行政强制情形的。</w:t>
            </w:r>
          </w:p>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2.同1.</w:t>
            </w:r>
          </w:p>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3.同1.</w:t>
            </w:r>
          </w:p>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4.【法律】《中华人民共和国行政强制法》（2011年6月30日主席令第49号发布，2012年1月1日起施行）第六十八条 违反本法规定，给公民、法人或者其他组织造成损失的，依法给予赔偿。 违反本法规定，构成犯罪的，依法追究刑事责任。</w:t>
            </w:r>
          </w:p>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5.【行政法规】《行政机关公务员处分条例》（2007年4月22日国务院令第495号颁布，2007年6月1日起施行）第二十条 有下列行为之一的，给予记过、记大过处分；情节较重的，给予降级或者撤职处分；情节严重的，给予开除处分：（四）其他玩忽职守、贻误工作的行为。</w:t>
            </w:r>
          </w:p>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6.同1.</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 xml:space="preserve"> 1.设定依据《森林法》更新调整。</w:t>
            </w:r>
          </w:p>
          <w:p>
            <w:pPr>
              <w:adjustRightInd w:val="0"/>
              <w:snapToGrid w:val="0"/>
              <w:spacing w:line="300" w:lineRule="exact"/>
              <w:rPr>
                <w:rFonts w:hint="eastAsia" w:ascii="仿宋_GB2312" w:hAnsi="仿宋_GB2312" w:eastAsia="仿宋_GB2312" w:cs="仿宋_GB2312"/>
                <w:color w:val="auto"/>
                <w:sz w:val="20"/>
                <w:szCs w:val="20"/>
                <w:highlight w:val="none"/>
                <w:lang w:val="en-US" w:eastAsia="zh-CN"/>
              </w:rPr>
            </w:pPr>
            <w:r>
              <w:rPr>
                <w:rFonts w:hint="eastAsia" w:ascii="仿宋_GB2312" w:hAnsi="仿宋_GB2312" w:eastAsia="仿宋_GB2312" w:cs="仿宋_GB2312"/>
                <w:color w:val="auto"/>
                <w:sz w:val="20"/>
                <w:szCs w:val="20"/>
                <w:highlight w:val="none"/>
                <w:lang w:val="en-US" w:eastAsia="zh-CN"/>
              </w:rPr>
              <w:t xml:space="preserve">    2.名称调整。名称由“代为补种树木”调整为“代为恢复植被和林业生产条件或代为补种树木</w:t>
            </w: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12</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行政给付</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最低生活保障救助资金的给付</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古宜镇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b w:val="0"/>
                <w:bCs w:val="0"/>
                <w:color w:val="auto"/>
                <w:kern w:val="0"/>
                <w:sz w:val="20"/>
                <w:szCs w:val="20"/>
                <w:highlight w:val="none"/>
                <w:lang w:val="en-US" w:eastAsia="zh-CN" w:bidi="ar-SA"/>
              </w:rPr>
            </w:pPr>
            <w:r>
              <w:rPr>
                <w:rFonts w:hint="eastAsia" w:ascii="仿宋_GB2312" w:hAnsi="仿宋_GB2312" w:eastAsia="仿宋_GB2312" w:cs="仿宋_GB2312"/>
                <w:b w:val="0"/>
                <w:bCs w:val="0"/>
                <w:color w:val="auto"/>
                <w:kern w:val="0"/>
                <w:sz w:val="20"/>
                <w:szCs w:val="20"/>
                <w:highlight w:val="none"/>
                <w:lang w:val="en-US" w:eastAsia="zh-CN" w:bidi="ar-SA"/>
              </w:rPr>
              <w:t>公共事务服务中心（社会保障和公共文化服务中心）</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1.【行政法规】《社会救助暂行办法》（2014年国务院令第649号公布，2019年国务院第709号修订）第九条 国家对共同生活的家庭成员人均收入低于当地最低生活保障标准，且符合当地最低生活保障家庭财产状况规定的家庭，给予最低生活保障。</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第十二条 对批准获得最低生活保障的家庭，县级人民政府民政部门按照共同生活的家庭成员人均收入低于当地最低生活保障标准的差额，按月发给最低生活保障金。</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对获得最低生活保障后生活仍有困难的老年人、未成年人、重度残疾人和重病患者，县级以上地方人民政府应当采取必要措施给予生活保障。</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2.【行政法规】《城市居民最低生活保障条例》（1999年国务院令第271号）第七条  申请享受城市居民最低生活保障待遇，由户主向户籍所在地的街道办事处或者镇人民政府提出书面申请，并出具有关证明材料，填写《城市居民最低生活保障待遇审批表》。城市居民最低生活保障待遇，由其所在地的街道办事处或者镇人民政府初审，并将有关材料和初审意见报送县级人民政府民政部门审批。</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1.审查责任：材料审核（主要包括申请人及申请享受低保的成员的户口本、身份证原件；困难证明材料；《广西申请社会救助家庭经济状况核对授权书》，并签字按手印等材料）。</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2.审批责任：进行审批，按时办结（予以批准，进行公布；不予批准，书面说明理由）。</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3.监管责任：建立监督管理机制，定期核查，针对不同情况采取管理措施。</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4.给付责任：按照相关规定，按月发放最低生活保障金。</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1.【法律】《中华人民共和国行政许可法》第三十四条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2-1.【法律】《中华人民共和国行政许可法》第三十七条行政机关对行政许可申请进行审查后，除当场作出行政许可决定的外，应当在法定期限内按照规定程序作出行政许可决定。第三十八条申请人的申请符合法定条件、标准的，行政机关应当依法作出准予行政许可的书面决定。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2-2.【行政法规】《城市居民最低生活保障条例》（1999年国务院令第271号公布）第四条城市居民最低生活保障制度实行地方各级人民政府负责制。县级以上地方各级人民政府民政部门具体负责本行政区域内城市居民最低生活保障的管理工作；财政部门按照规定落实城市居民最低生活保障资金；统计、物价、审计、劳动保障和人事等部门分工负责，在各自的职责范围内负责城市居民最低生活保障的有关工作。县级人民政府民政部门以及街道办事处和镇人民政府（以下统称管理审批机关）负责城市居民最低生活保障的具体管理审批工作。居民委员会根据管理审批机关的委托，可以承担城市居民最低生活保障的日常管理、服务工作。国务院民政部门负责全国城市居民最低生活保障的管理工作。第八条县级人民政府民政部门经审查，对符合享受城市居民最低生活保障待遇条件的家庭，应当区分下列不同情况批准其享受城市居民最低生活保障待遇：（一）对无生活来源、无劳动能力又无法定赡养人、扶养人或者抚养人的城市居民，批准其按照当地城市居民最低生活保障标准全额享受（二）对尚有一定收入的城市居民，批准其按照家庭人均收入低于当地城市居民最低生活保障标准的差额享受。县级人民政府民政部门经审查，对不符合享受城市居民最低生活保障待遇条件的，应当书面通知申请人，并说明理由。管理审批机关应当自接到申请人提出申请之日起的30日内办结审批手续。城市居民最低生活保障待遇由管理审批机关以货币形式按月发放；必要时，也可以给付实物。第九条对经批准享受城市居民最低生活保障待遇的城市居民，由管理审批机关采取适当形式以户为单位予以公布，接受群众监督。任何人对不符合法定条件而享受城市居民最低生活保障待遇的，都有权向管理审批机关提出意见；管理审批机关经核查，对情况属实的，应当予以纠正。</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2-3.【行政法规】《社会救助暂行办法》（2014年国务院令第649号，2019年国务院令第709号修订）第十一条申请最低生活保障，按照下列程序办理：（一）由共同生活的家庭成员向户籍所在地的乡镇人民政府、街道办事处提出书面申请；家庭成员申请有困难的，可以委托村民委员会、居民委员会代为提出申请。（二）乡镇人民政府、街道办事处应当通过入户调查、邻里访问、信函索证、群众评议、信息核查等方式，对申请人的家庭收入状况、财产状况进行调查核实，提出初审意见，在申请人所在村、社区公示后报县级人民政府民政部门审批。（三）县级人民政府民政部门经审查，对符合条件的申请予以批准，并在申请人所在村、社区公布；对不符合条件的申请不予批准，并书面向申请人说明理由。第十二条对批准获得最低生活保障的家庭，县级人民政府民政部门按照共同生活的家庭成员人均收入低于当地最低生活保障标准的差额，按月发给最低生活保障金。对获得最低生活保障后生活仍有困难的老年人、未成年人、重度残疾人和重病患者，县级以上地方人民政府应当采取必要措施给予生活保障。第十三条最低生活保障家庭的人口状况、收入状况、财产状况发生变化的，应当及时告知乡镇人民政府、街道办事处。县级人民政府民政部门以及乡镇人民政府、街道办事处应当对获得最低生活保障家庭的人口状况、收入状况、财产状况定期核查。最低生活保障家庭的人口状况、收入状况、财产状况发生变化的，县级人民政府民政部门应当及时决定增发、减发或者停发最低生活保障金；决定停发最低生活保障金的，应当书面说明理由。</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2-4.【地方政府规章】《广西壮族自治区最低生活保障办法》（2020年广西壮族自治区人民政府令第133号），第二十二条乡镇人民政府、街道办事处应当根据调查核实结果作出初审意见，并在申请人所在村（居）民委员会的村（居）务公开栏及申请人所在的村（社区）、屯公示。公示时间不得少于5个工作日。公示期满无异议的，乡镇人民政府、街道办事处应当在公示期满之日起3个工作日内将初审意见报送县级人民政府民政部门审批，或者由受委托行使最低生活保障审批权的乡镇人民政府、街道办事处直接进行审批。第二十八条最低生活保障金由县级人民政府民政部门会同财政部门通过金融机构于批准当月或者次月起按月发放至最低生活保障对象指定的家庭成员账户。</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3-1.【法律】《中华人民共和国行政许可法》第六十一条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3-2.同2-2。</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4.同2-2</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1.对符合申请条件的救助申请不予受理的；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2.对符合救助条件的救助申请不予批准的；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3.对不符合救助条件的救助申请予以批准的；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4.泄露在工作中知悉的公民个人信息，造成后果的；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5.丢失、篡改接受社会救助款物、服务记录等数据的；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6.不按照规定发放社会救助资金、物资或者提供相关服务的；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7.在履行社会救助职责过程中有其他滥用职权、玩忽职守、徇私舞弊行为的；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8.截留、挤占、挪用、私分社会救助资金、物资的；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9.其他违反法律法规规定的行为。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highlight w:val="none"/>
                <w:lang w:val="en-US" w:eastAsia="zh-CN" w:bidi="ar-SA"/>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【行政法规】《社会救助暂行办法》（国务院令649号）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第六十六条 违反本办法规定，有下列情形之一的，由上级行政机关或者监察机关责令改正；对直接负责的主管人员和其他直接责任人员依法给予处分：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（一）对符合申请条件的救助申请不予受理的；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（二）对符合救助条件的救助申请不予批准的；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（三）对不符合救助条件的救助申请予以批准的；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（四）泄露在工作中知悉的公民个人信息，造成后果的；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（五）丢失、篡改接受社会救助款物、服务记录等数据的；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（六）不按照规定发放社会救助资金、物资或者提供相关服务的；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（七）在履行社会救助职责过程中有其他滥用职权、玩忽职守、徇私舞弊行为的。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第六十七条 违反本办法规定，截留、挤占、挪用、私分社会救助资金、物资的，由有关部门责令追回；有违法所得的，没收违法所得；对直接负责的主管人员和其他直接责任人员依法给予处分。</w:t>
            </w:r>
          </w:p>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i w:val="0"/>
                <w:iCs w:val="0"/>
                <w:caps w:val="0"/>
                <w:color w:val="auto"/>
                <w:spacing w:val="0"/>
                <w:sz w:val="20"/>
                <w:szCs w:val="20"/>
                <w:highlight w:val="none"/>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1.“最低生活保障救助资金的给付”与《自治区党委编办关于印发广西赋予乡镇（街道）部分县级管理权限清单（第一批）的通知》（桂编办发〔2019〕195号）中的“城乡居民最低生活保障金给付”为同一事项，根据桂编办发〔2019〕195号文件精神，该行政给付赋权乡镇人民政府（街道办事处）实施。2.发放资金由县级民政部门给付。</w:t>
            </w: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13</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行政给付</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临时救助</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lang w:val="en-US" w:eastAsia="zh-CN"/>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古宜镇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b w:val="0"/>
                <w:bCs w:val="0"/>
                <w:color w:val="auto"/>
                <w:kern w:val="0"/>
                <w:sz w:val="20"/>
                <w:szCs w:val="20"/>
                <w:highlight w:val="none"/>
                <w:lang w:val="en-US" w:eastAsia="zh-CN" w:bidi="ar-SA"/>
              </w:rPr>
              <w:t>公共事务服务中心（社会保障和公共文化服务中心）【</w:t>
            </w:r>
            <w:r>
              <w:rPr>
                <w:rFonts w:hint="eastAsia" w:ascii="仿宋_GB2312" w:hAnsi="仿宋_GB2312" w:eastAsia="仿宋_GB2312" w:cs="仿宋_GB2312"/>
                <w:color w:val="auto"/>
                <w:kern w:val="0"/>
                <w:sz w:val="20"/>
                <w:szCs w:val="20"/>
                <w:highlight w:val="none"/>
              </w:rPr>
              <w:t>给付金额在当地城市低保标准年度总额的0.5倍以内的管理权限在乡镇一级</w:t>
            </w:r>
            <w:r>
              <w:rPr>
                <w:rFonts w:hint="eastAsia" w:ascii="仿宋_GB2312" w:hAnsi="仿宋_GB2312" w:eastAsia="仿宋_GB2312" w:cs="仿宋_GB2312"/>
                <w:b w:val="0"/>
                <w:bCs w:val="0"/>
                <w:color w:val="auto"/>
                <w:kern w:val="0"/>
                <w:sz w:val="20"/>
                <w:szCs w:val="20"/>
                <w:highlight w:val="none"/>
                <w:lang w:val="en-US" w:eastAsia="zh-CN" w:bidi="ar-SA"/>
              </w:rPr>
              <w:t>】</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【行政法规】《社会救助暂行办法》（2014年国务院令649号发布，2019年国务院令709号修订）第四十七条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88" w:leftChars="18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1.审查责任：审查是否符合临时救助的情形。</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2.公示责任：对符合条件的人员名单进行公示。</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3.审批责任：及时审批，按时办结。</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4.给付责任：发放临时救助金。</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1-1.【法律】《中华人民共和国行政许可法》第三十四条 行政机关应当对申请人提交的申请材料进行审查。</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申请人提交的申请材料齐全、符合法定形式，行政机关能够当场作出决定的，应当当场作出书面的行政许可决定。</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根据法定条件和程序，需要对申请材料的实质内容进行核实的，行政机关应当指派两名以上工作人员进行核查。</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1-2.【行政法规】《社会救助暂行办法》（2014年国务院令第649号，2019年国务院令第709号修订）第四十八条  申请临时救助的，应当向乡镇人民政府、街道办事处提出，经审核、公示后，由县级人民政府民政部门审批。救助金额较小的，县级人民政府民政部门可以委托乡镇人民政府、街道办事处审批。情况紧急的，可以按照规定简化审批程序。”</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2-1.【法律】《中华人民共和国行政许可法》第三十条 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2-2.同1-2。</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3-1.【法律】《中华人民共和国行政许可法》第三十七条 行政机关对行政许可申请进行审查后，除当场作出行政许可决定的外，应当在法定期限内按照规定程序作出行政许可决定。第三十八条 申请人的申请符合法定条件、标准的，行政机关应当依法作出准予行政许可的书面决定。</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3-2.同1-2。</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4.同1-2。</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1.对符合申请条件的救助申请不予受理的；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2.对符合救助条件的救助申请不予批准的；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3.对不符合救助条件的救助申请予以批准的；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4.泄露在工作中知悉的公民个人信息，造成后果的；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5.丢失、篡改接受社会救助款物、服务记录等数据的；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6.不按照规定发放社会救助资金、物资或者提供相关服务的；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7.在履行社会救助职责过程中有其他滥用职权、玩忽职守、徇私舞弊行为的；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8. 截留、挤占、挪用、私分社会救助资金、物资的；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9.其他违反法律法规规定的行为。</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highlight w:val="none"/>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【行政法规】《社会救助暂行办法》（国务院令649号）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第六十六条 违反本办法规定，有下列情形之一的，由上级行政机关或者监察机关责令改正；对直接负责的主管人员和其他直接责任人员依法给予处分：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（一）对符合申请条件的救助申请不予受理的；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（二）对符合救助条件的救助申请不予批准的；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（三）对不符合救助条件的救助申请予以批准的；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（四）泄露在工作中知悉的公民个人信息，造成后果的；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（五）丢失、篡改接受社会救助款物、服务记录等数据的；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（六）不按照规定发放社会救助资金、物资或者提供相关服务的；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（七）在履行社会救助职责过程中有其他滥用职权、玩忽职守、徇私舞弊行为的。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第六十七条 违反本办法规定，截留、挤占、挪用、私分社会救助资金、物资的，由有关部门责令追回；有违法所得的，没收违法所得；对直接负责的主管人员和其他直接责任人员依法给予处分。</w:t>
            </w:r>
          </w:p>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i w:val="0"/>
                <w:iCs w:val="0"/>
                <w:caps w:val="0"/>
                <w:color w:val="auto"/>
                <w:spacing w:val="0"/>
                <w:sz w:val="20"/>
                <w:szCs w:val="20"/>
                <w:highlight w:val="none"/>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临时救助”与《自治区党委编办关于印发广西赋予乡镇（街道）部分县级管理权限清单（第一批）的通知》（桂编办发〔2019〕195号）中的“临时救助资金发放”为同一事项，根据桂编办发〔2019〕195号文件精神，该行政给付赋权乡镇人民政府（街道办事处）实施。</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2.发放资金由县级民政部门给付。</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3.根据自治区党委办公厅 自治区人民政府办公厅印发《关于改革完善社会救助制度的若干措施》的通知（桂办发〔2020〕23号），临时救助金额在当地城市低保标准年度总额的0.5倍以内的，委托乡镇（街道）负责审核认定。</w:t>
            </w: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14</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行政给付</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特困人员救助供养</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lang w:val="en-US" w:eastAsia="zh-CN"/>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古宜镇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b w:val="0"/>
                <w:bCs w:val="0"/>
                <w:color w:val="auto"/>
                <w:kern w:val="0"/>
                <w:sz w:val="20"/>
                <w:szCs w:val="20"/>
                <w:highlight w:val="none"/>
                <w:lang w:val="en-US" w:eastAsia="zh-CN" w:bidi="ar-SA"/>
              </w:rPr>
              <w:t>公共事务服务中心（社会保障和公共文化服务中心）【</w:t>
            </w:r>
            <w:r>
              <w:rPr>
                <w:rFonts w:hint="eastAsia" w:ascii="仿宋_GB2312" w:hAnsi="仿宋_GB2312" w:eastAsia="仿宋_GB2312" w:cs="仿宋_GB2312"/>
                <w:color w:val="auto"/>
                <w:kern w:val="0"/>
                <w:sz w:val="20"/>
                <w:szCs w:val="20"/>
                <w:highlight w:val="none"/>
              </w:rPr>
              <w:t>认定管理权限在乡镇一级</w:t>
            </w:r>
            <w:r>
              <w:rPr>
                <w:rFonts w:hint="eastAsia" w:ascii="仿宋_GB2312" w:hAnsi="仿宋_GB2312" w:eastAsia="仿宋_GB2312" w:cs="仿宋_GB2312"/>
                <w:b w:val="0"/>
                <w:bCs w:val="0"/>
                <w:color w:val="auto"/>
                <w:kern w:val="0"/>
                <w:sz w:val="20"/>
                <w:szCs w:val="20"/>
                <w:highlight w:val="none"/>
                <w:lang w:val="en-US" w:eastAsia="zh-CN" w:bidi="ar-SA"/>
              </w:rPr>
              <w:t>】</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【行政法规】《社会救助暂行办法》（2014年国务院令649号发布，2019年国务院令709号修订）第三条 ……县级以上地方人民政府民政、应急管理、卫生健康、教育、住房城乡建设、人力资源社会保障、医疗保障等部门，按照各自职责负责本行政区域内享有的社会救助管理工作。</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第十四条 国家对无劳动能力、无生活来源且无法定赡养、抚养、扶养义务人，或者其法定赡养、抚养、扶养义务人无赡养、抚养、扶养能力的老年人、残疾人以及未满16周岁的未成年人，给予特困人员供养。</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第十五条  特困人员供养的内容包括：（一）提供基本生活条件；（二）对生活不能自理的给予照料；（三）提供疾病治疗；（四）办理丧葬事宜。</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特困人员供养标准，由省、自治区、直辖市或者设区的市级人民政府确定、公布。</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特困人员供养应当与城乡居民基本养老保险、基本医疗保障、最低生活保障、孤儿基本生活保障等制度相衔接。</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第十六条 申请特困人员供养，由本人向户籍所在地的乡镇人民政府、街道办事处提出书面申请；本人申请有困难的，可以委托村民委员会、居民委员会代为提出申请。</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1.审查责任：材料审核（申请特困的书面证明材料等）。</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2.审批责任：进行审批，按时办结（予以批准，发放证书，进行公布；不予批准，书面说明理由）。</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3.监管责任：建立监督管理机制，定期核查，针对不同情况采取管理措施。</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4.给付责任：给予城乡特困人员供养。</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1.【法律】《中华人民共和国行政许可法》第三十四条 行政机关应当对申请人提交的申请材料进行审查。</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申请人提交的申请材料齐全、符合法定形式，行政机关能够当场作出决定的，应当当场作出书面的行政许可决定。</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根据法定条件和程序，需要对申请材料的实质内容进行核实的，行政机关应当指派两名以上工作人员进行核查。</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2-1.【法律】《中华人民共和国行政许可法》第三十七条 行政机关对行政许可申请进行审查后，除当场作出行政许可决定的外，应当在法定期限内按照规定程序作出行政许可决定。</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第三十八条 申请人的申请符合法定条件、标准的，行政机关应当依法作出准予行政许可的书面决定。</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行政机关依法作出不予行政许可的书面决定的，应当说明理由，并告知申请人享有依法申请行政复议或者提起行政诉讼的权利。</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第四十条 行政机关作出的准予行政许可决定，应当予以公开，公众有权查阅。</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2-2.【行政法规】《农村五保供养工作条例》（1994年国务院令第141号发布，2006年国务院令第456号发布）第七条  第二款 乡、民族乡、镇人民政府应当自收到评议意见之日起20日内提出审核意见，并将审核意见和有关材料报送县级人民政府民政部门审批。县级人民政府民政部门应当自收到审核意见和有关材料之日起20日内作出审批决定。对批准给予农村五保供养待遇的，发给《农村五保供养证书》；对不符合条件不予批准的，应当书面说明理由。　</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2-3.【政府规章】《广西壮族自治区实施&lt;农村五保供养工作条例&gt;办法》（2010年广西壮族自治区人民政府令第62号）第六条 农村居民符合农村五保供养条件的，由本人或者村民小组、其他村民代为向村（居）民委员会提出申请，经村（居）民委员会民主评议、乡镇人民政府或街道办事处审核、县级人民政府民政部门审批，取得《农村五保供养证书》，从批准当月起享受农村五保供养待遇。</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3-1.【法律】《中华人民共和国行政许可法》第六十一条 行政机关应当建立健全监督制度，通过核查反映被许可人从事行政许可事项活动情况的有关材料，履行监督责任。</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行政机关依法对被许可人从事行政许可事项的活动进行监督检查时，应当将监督检查的情况和处理结果予以记录，由监督检查人员签字后归档。公众有权查阅行政机关监督检查记录。</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3-2.【行政法规】《农村五保供养工作条例》（1994年国务院令第141号发布，2006年国务院令第456号发布）第八条 农村五保供养对象不再符合本条例第六条规定条件的，村民委员会或者敬老院等农村五保供养服务机构（以下简称农村五保供养服务机构）应当向乡、民族乡、镇人民政府报告，由乡、民族乡、镇人民政府审核并报县级人民政府民政部门核准后，核销其《农村五保供养证书》。</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农村五保供养对象死亡，丧葬事宜办理完毕后，村民委员会或者农村五保供养服务机构应当向乡、民族乡、镇人民政府报告，由乡、民族乡、镇人民政府报县级人民政府民政部门核准后，核销其《农村五保供养证书》。</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【政府规章】《广西壮族自治区实施〈农村五保供养工作条例〉办法》（2010年广西壮族自治区人民政府令第62号）第二十一条  县级人民政府民政部门和乡镇人民政府、街道办事处对符合农村五保供养条件的农村居民应当及时给予农村五保供养；对不再符合条件或死亡的农村五保供养对象，应当及时核销其《农村五保供养证书》，并从次月起停止农村五保供养。</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4.【行政法规】《社会救助暂行办法》（2014年国务院令第649号，2019年国务院令第709号修订）第十四条 国家对无劳动能力、无生活来源且无法定赡养、抚养、扶养义务人，或者其法定赡养、抚养、扶养义务人无赡养、抚养、扶养能力的老年人、残疾人以及未满16周岁的未成年人，给予特困人员供养。</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第十五条  特困人员供养的内容包括：</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（一）提供基本生活条件；</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（二）对生活不能自理的给予照料；</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（三）提供疾病治疗；（四）办理丧葬事宜。</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特困人员供养标准，由省、自治区、直辖市或者设区的市级人民政府确定、公布。</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特困人员供养应当与城乡居民基本养老保险、基本医疗保障、最低生活保障、孤儿基本生活保障等制度相衔接。</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1. 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2.对符合救助条件的救助申请不予批准的；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3.对不符合救助条件的救助申请予以批准的；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4.泄露在工作中知悉的公民个人信息，造成后果的；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5.丢失、篡改接受社会救助款物、服务记录等数据的；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6.不按照规定发放社会救助资金、物资或者提供相关服务的；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7.在履行社会救助职责过程中有其他滥用职权、玩忽职守、徇私舞弊行为的；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8. 截留、挤占、挪用、私分社会救助资金、物资的；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9.其他违反法律法规规定的行为。</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highlight w:val="none"/>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【行政法规】《社会救助暂行办法》（国务院令649号）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第六十六条 违反本办法规定，有下列情形之一的，由上级行政机关或者监察机关责令改正；对直接负责的主管人员和其他直接责任人员依法给予处分：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（一）对符合申请条件的救助申请不予受理的；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（二）对符合救助条件的救助申请不予批准的；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（三）对不符合救助条件的救助申请予以批准的；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（四）泄露在工作中知悉的公民个人信息，造成后果的；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（五）丢失、篡改接受社会救助款物、服务记录等数据的；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（六）不按照规定发放社会救助资金、物资或者提供相关服务的；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（七）在履行社会救助职责过程中有其他滥用职权、玩忽职守、徇私舞弊行为的。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第六十七条 违反本办法规定，截留、挤占、挪用、私分社会救助资金、物资的，由有关部门责令追回；有违法所得的，没收违法所得；对直接负责的主管人员和其他直接责任人员依法给予处分。</w:t>
            </w:r>
          </w:p>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i w:val="0"/>
                <w:iCs w:val="0"/>
                <w:caps w:val="0"/>
                <w:color w:val="auto"/>
                <w:spacing w:val="0"/>
                <w:sz w:val="20"/>
                <w:szCs w:val="20"/>
                <w:highlight w:val="none"/>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xml:space="preserve">1.“特困人员救助供养”与《自治区党委编办关于印发广西赋予乡镇（街道）部分县级管理权限清单（第一批）的通知》（桂编办发〔2019〕195号）中的“城乡特困（城市“三无”、农村五保）人员供养”为同一事项，根据桂编办发〔2019〕195号文件精神，该行政给付赋权乡镇人民政府（街道办事处）实施。  </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2.发放资金由县级民政部门给付。</w:t>
            </w: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15</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行政给付</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困难残疾人生活补贴和重度残疾人护理补贴</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1.困难残疾人生活补贴给付</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snapToGrid w:val="0"/>
                <w:sz w:val="20"/>
                <w:szCs w:val="20"/>
                <w:highlight w:val="none"/>
                <w:lang w:val="en-US" w:eastAsia="zh-CN"/>
              </w:rPr>
              <w:t>三江侗族自治县</w:t>
            </w:r>
            <w:r>
              <w:rPr>
                <w:rFonts w:hint="eastAsia" w:ascii="仿宋_GB2312" w:hAnsi="仿宋_GB2312" w:eastAsia="仿宋_GB2312" w:cs="仿宋_GB2312"/>
                <w:snapToGrid w:val="0"/>
                <w:sz w:val="20"/>
                <w:szCs w:val="20"/>
                <w:highlight w:val="none"/>
                <w:lang w:eastAsia="zh-CN"/>
              </w:rPr>
              <w:t>古宜镇</w:t>
            </w:r>
            <w:r>
              <w:rPr>
                <w:rFonts w:hint="eastAsia" w:ascii="仿宋_GB2312" w:hAnsi="仿宋_GB2312" w:eastAsia="仿宋_GB2312" w:cs="仿宋_GB2312"/>
                <w:snapToGrid w:val="0"/>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bidi="ar-SA"/>
              </w:rPr>
              <w:t>公共事务服务中心（社会保障和公共文化服务中心）</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rPr>
              <w:t>认定管理权限在乡镇一级</w:t>
            </w:r>
            <w:r>
              <w:rPr>
                <w:rFonts w:hint="eastAsia" w:ascii="仿宋_GB2312" w:hAnsi="仿宋_GB2312" w:eastAsia="仿宋_GB2312" w:cs="仿宋_GB2312"/>
                <w:color w:val="auto"/>
                <w:kern w:val="0"/>
                <w:sz w:val="20"/>
                <w:szCs w:val="20"/>
                <w:highlight w:val="none"/>
                <w:lang w:eastAsia="zh-CN"/>
              </w:rPr>
              <w:t>】</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1.【法律】《中华人民共和国残疾人保障法》第四十八条 各级人民政府对生活确有困难的残疾人，通过多种渠道给予生活、教育、住房和其他社会救助。</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县级以上地方人民政府对享受最低生活保障待遇后生活仍有特别困难的残疾人家庭，应当采取其他措施保障其基本生活。</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各级人民政府对贫困残疾人的基本医疗、康复服务、必要的辅助器具的配置和更换，应当按照规定给予救助。</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对生活不能自理的残疾人，地方各级人民政府应当根据情况给予护理补贴。</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2.【规范性文件】《广西壮族自治区人民政府办公厅关于印发广西壮族自治区困难残疾人生活补贴和重度残疾人护理补贴实施办法的通知》（桂政办发〔2015〕120号）第三条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3.【规范性文件】《广西壮族自治区民政厅 广西壮族自治区财政厅 广西壮族自治区残疾人联合会关于进一步加强和改进残疾人两项补贴发放工作的通知》（桂民规〔2020〕1号）“纳入低保的持有残疾人证的残疾人，乡镇人民政府、街道办事处直接认定该残疾人享受困难残疾人生活补贴”。</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1.审核责任：审核申请人是否符合获得补贴的资格，并发放残疾人补贴。</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2.监督管理责任：监督管理各地方的补贴发放情况。</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3.评定责任：困难残疾人生活补贴对象为户籍在广西壮族自治区的最低生活保障家庭中的残疾人。</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4.给付责任：对符合条件的残疾人，地方各级人民政府根据情况给予相应补贴。</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snapToGrid w:val="0"/>
                <w:color w:val="auto"/>
                <w:kern w:val="2"/>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1.【规范性文件】《广西壮族自治区人民政府办公厅关于印发广西壮族自治区困难残疾人生活补贴和重度残疾人护理补贴实施办法的通知》（桂政办发〔2015〕120号）第三条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2.同1。</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3.【规范性文件】《广西壮族自治区民政厅 广西壮族自治区财政厅 广西壮族自治区残疾人联合会关于进一步加强和改进残疾人两项补贴发放工作的通知》（桂民规〔2020〕1号）“纳入低保的持有残疾人证的残疾人，乡镇人民政府、街道办事处直接认定该残疾人享受困难残疾人生活补贴”。</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4-1.【法律】《中华人民共和国残疾人保障法》第四十八条 各级人民政府对生活确有困难的残疾人，通过多种渠道给予生活、教育、住房和其他社会救助。</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各级人民政府对贫困残疾人的基本医疗、康复服务、必要的辅助器具的配置和更换，应当按照规定给予救助。</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对生活不能自理的残疾人，地方各级人民政府应当根据情况给予护理补贴。</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4-2.同3。</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1.侵害残疾人的合法权益的；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2.未依法履行职责，对侵害残疾人权益的行为未及时制止或者未给予受害残疾人必要帮助的；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3.其他违反法律法规规定的情形。</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highlight w:val="none"/>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《中华人民共和国残疾人保障法》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第五十九条　残疾人的合法权益受到侵害的，可以向残疾人组织投诉，残疾人组织应当维护残疾人的合法权益，有权要求有关部门或者单位查处。有关部门或者单位应当依法查处，并予以答复。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残疾人组织对残疾人通过诉讼维护其合法权益需要帮助的，应当给予支持。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残疾人组织对侵害特定残疾人群体利益的行为，有权要求有关部门依法查处。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国家工作人员未依法履行职责，对侵害残疾人权益的行为未及时制止或者未给予受害残疾人必要帮助，造成严重后果的，由其所在单位或者上级机关依法对直接负责的主管人员和其他直接责任人员给予处分。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第六十七条　违反本法规定，侵害残疾人的合法权益，其他法律、法规规定行政处罚的，从其规定；造成财产损失或者其他损害的，依法承担民事责任；构成犯罪的，依法追究刑事责任。</w:t>
            </w:r>
          </w:p>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i w:val="0"/>
                <w:iCs w:val="0"/>
                <w:caps w:val="0"/>
                <w:color w:val="auto"/>
                <w:spacing w:val="0"/>
                <w:sz w:val="20"/>
                <w:szCs w:val="20"/>
                <w:highlight w:val="none"/>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FF0000"/>
                <w:kern w:val="0"/>
                <w:sz w:val="20"/>
                <w:szCs w:val="20"/>
                <w:highlight w:val="none"/>
                <w:lang w:val="en-US" w:eastAsia="zh-CN" w:bidi="ar-SA"/>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FF0000"/>
                <w:kern w:val="0"/>
                <w:sz w:val="20"/>
                <w:szCs w:val="20"/>
                <w:highlight w:val="none"/>
              </w:rPr>
            </w:pP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FF0000"/>
                <w:kern w:val="0"/>
                <w:sz w:val="20"/>
                <w:szCs w:val="20"/>
                <w:highlight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2.重度残疾人护理补贴给付</w:t>
            </w: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jc w:val="lef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sz w:val="20"/>
                <w:szCs w:val="20"/>
                <w:highlight w:val="none"/>
                <w:lang w:val="en-US" w:eastAsia="zh-CN"/>
              </w:rPr>
              <w:t>三江侗族自治县</w:t>
            </w:r>
            <w:r>
              <w:rPr>
                <w:rFonts w:hint="eastAsia" w:ascii="仿宋_GB2312" w:hAnsi="仿宋_GB2312" w:eastAsia="仿宋_GB2312" w:cs="仿宋_GB2312"/>
                <w:snapToGrid w:val="0"/>
                <w:sz w:val="20"/>
                <w:szCs w:val="20"/>
                <w:highlight w:val="none"/>
                <w:lang w:eastAsia="zh-CN"/>
              </w:rPr>
              <w:t>古宜镇</w:t>
            </w:r>
            <w:r>
              <w:rPr>
                <w:rFonts w:hint="eastAsia" w:ascii="仿宋_GB2312" w:hAnsi="仿宋_GB2312" w:eastAsia="仿宋_GB2312" w:cs="仿宋_GB2312"/>
                <w:snapToGrid w:val="0"/>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right="-31" w:rightChars="-15"/>
              <w:jc w:val="lef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公共事务服务中心（社会保障和公共文化服务中心）</w:t>
            </w:r>
            <w:r>
              <w:rPr>
                <w:rFonts w:hint="eastAsia" w:ascii="仿宋_GB2312" w:hAnsi="仿宋_GB2312" w:eastAsia="仿宋_GB2312" w:cs="仿宋_GB2312"/>
                <w:snapToGrid w:val="0"/>
                <w:sz w:val="20"/>
                <w:szCs w:val="20"/>
                <w:highlight w:val="none"/>
                <w:lang w:val="en-US" w:eastAsia="zh-CN"/>
              </w:rPr>
              <w:t>【</w:t>
            </w:r>
            <w:r>
              <w:rPr>
                <w:rFonts w:hint="eastAsia" w:ascii="仿宋_GB2312" w:hAnsi="仿宋_GB2312" w:eastAsia="仿宋_GB2312" w:cs="仿宋_GB2312"/>
                <w:color w:val="auto"/>
                <w:kern w:val="0"/>
                <w:sz w:val="20"/>
                <w:szCs w:val="20"/>
                <w:highlight w:val="none"/>
              </w:rPr>
              <w:t>认定管理权限在乡镇一级</w:t>
            </w:r>
            <w:r>
              <w:rPr>
                <w:rFonts w:hint="eastAsia" w:ascii="仿宋_GB2312" w:hAnsi="仿宋_GB2312" w:eastAsia="仿宋_GB2312" w:cs="仿宋_GB2312"/>
                <w:snapToGrid w:val="0"/>
                <w:sz w:val="20"/>
                <w:szCs w:val="20"/>
                <w:highlight w:val="none"/>
                <w:lang w:val="en-US" w:eastAsia="zh-CN"/>
              </w:rPr>
              <w:t>】</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1.【法律】《中华人民共和国残疾人保障法》第四十八条 各级人民政府对生活确有困难的残疾人，通过多种渠道给予生活、教育、住房和其他社会救助。县级以上地方人民政府对享受最低生活保障待遇后生活仍有特别困难的残疾人家庭，应当采取其他措施保障其基本生活。各级人民政府对贫困残疾人的基本医疗、康复服务、必要的辅助器具的配置和更换，应当按照规定给予救助。对生活不能自理的残疾人，地方各级人民政府应当根据情况给予护理补贴。</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2.【规范性文件】《广西壮族自治区人民政府办公厅关于印发广西壮族自治区困难残疾人生活补贴和重度残疾人护理补贴实施办法的通知》（桂政办发〔2015〕120号）第三条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第四条 困难残疾人生活补贴对象为户籍在广西壮族自治区的最低生活保障家庭中的残疾人。有条件的地方，可逐步将困难残疾人生活补贴对象扩大到低收入残疾人及其他困难残疾人。低收入残疾人及其他困难残疾人的认定标准，由当地人民政府参照相关规定结合实际情况制定。</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第五条 重度残疾人护理补贴对象为户籍在广西壮族自治区的残疾等级被评定为一级和二级，且需要长期照护的重度残疾人。长期照护是指因残疾产生的特殊护理消费品和照护服务支出持续6个月以上时间。有条件的地方，可将重度残疾人护理补贴对象扩大到非重度智力、精神残疾人或其他残疾人，逐步建立面向所有需要长期照护残疾人的护理补贴制度。</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3.【规范性文件】《广西壮族自治区民政厅 广西壮族自治区残疾人联合会 广西壮族自治区财政厅关于提高全区残疾人两项补贴标准和扩大重度残疾人护理补贴对象范围的通知》（桂民发〔2018〕53号）“从2019年1月1日起，调整重度残疾人护理补贴对象范围。将全区持有第二代残疾人证或者第三代残疾人证的三级、四级精神障碍患者纳入补贴范围，补贴标准同一级、二级重度残疾人。”</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1.审核责任：审核申请人是否符合获得补贴的资格，并发放残疾人补贴。</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2.监督管理责任：监督管理各地方的补贴发放情况。</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3.评定责任：重度残疾人护理补贴对象为户籍在广西壮族自治区的残疾等级被评定为一级、二级且需要长期照护的重度残疾人及三级、四级精神残疾的残疾人。</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4.给付责任：对符合条件的残疾人，地方各级人民政府根据情况给予相应补贴。</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5.法律法规规定的其他责任。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1.【规范性文件】《广西壮族自治区人民政府办公厅关于印发广西壮族自治区困难残疾人生活补贴和重度残疾人护理补贴实施办法的通知》（桂政办发〔2015〕120号）第三条   困难残疾人生活补贴和重度残疾人护理补贴工作由各级人民政府负责组织实施，并纳入年度考核内容。各级民政部门作为主管部门，负责做好补贴资格审定、补贴发放、监督管理等工作。各级残联组织要发挥“代表、服务、管理”的职能作用，及时掌握残疾人需求，严格残疾人证发放管理，做好相关审核工作。</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2.同1。</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3-1.【规范性文件】《广西壮族自治区人民政府办公厅关于印发广西壮族自治区困难残疾人生活补贴和重度残疾人护理补贴实施办法的通知》（桂政办发〔2015〕120号）第五条 重度残疾人护理补贴对象为户籍在广西壮族自治区的残疾等级被评定为一级和二级，且需要长期照护的重度残疾人。长期照护是指因残疾产生的特殊护理消费品和照护服务支出持续6个月以上时间。有条件的地方，可将重度残疾人护理补贴对象扩大到非重度智力、精神残疾人或其他残疾人，逐步建立面向所有需要长期照护残疾人的护理补贴制度。</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3-2.【规范性文件】《广西壮族自治区民政厅 广西壮族自治区残疾人联合会 广西壮族自治区财政厅关于提高全区残疾人两项补贴标准和扩大重度残疾人护理补贴对象范围的通知》（桂民发〔2018〕53号），“从2019年1月1日起，调整重度残疾人护理补贴对象范围。将全区持有第二代残疾人证或者第三代残疾人证的三级、四级精神障碍患者纳入补贴范围，补贴标准同一级、二级重度残疾人。”</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4-1.【法律】《中华人民共和国残疾人保障法》第四十八条 各级人民政府对生活确有困难的残疾人，通过多种渠道给予生活、教育、住房和其他社会救助。</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各级人民政府对贫困残疾人的基本医疗、康复服务、必要的辅助器具的配置和更换，应当按照规定给予救助。</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对生活不能自理的残疾人，地方各级人民政府应当根据情况给予护理补贴。</w:t>
            </w:r>
            <w:r>
              <w:rPr>
                <w:rFonts w:hint="eastAsia" w:ascii="仿宋_GB2312" w:hAnsi="仿宋_GB2312" w:eastAsia="仿宋_GB2312" w:cs="仿宋_GB2312"/>
                <w:color w:val="auto"/>
                <w:kern w:val="0"/>
                <w:sz w:val="20"/>
                <w:szCs w:val="20"/>
                <w:highlight w:val="none"/>
              </w:rPr>
              <w:br w:type="textWrapping"/>
            </w:r>
            <w:r>
              <w:rPr>
                <w:rFonts w:hint="eastAsia" w:ascii="仿宋_GB2312" w:hAnsi="仿宋_GB2312" w:eastAsia="仿宋_GB2312" w:cs="仿宋_GB2312"/>
                <w:color w:val="auto"/>
                <w:kern w:val="0"/>
                <w:sz w:val="20"/>
                <w:szCs w:val="20"/>
                <w:highlight w:val="none"/>
              </w:rPr>
              <w:t xml:space="preserve">    4-2.同3。</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1.侵害残疾人的合法权益的；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2.未依法履行职责，对侵害残疾人权益的行为未及时制止或者未给予受害残疾人必要帮助的；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3.其他违反法律法规规定的情形。</w:t>
            </w:r>
          </w:p>
          <w:p>
            <w:pPr>
              <w:widowControl/>
              <w:adjustRightInd w:val="0"/>
              <w:snapToGrid w:val="0"/>
              <w:spacing w:line="280" w:lineRule="exact"/>
              <w:ind w:left="-31" w:leftChars="-15" w:right="-31" w:rightChars="-15" w:firstLine="400" w:firstLineChars="200"/>
              <w:jc w:val="left"/>
              <w:rPr>
                <w:rFonts w:hint="eastAsia" w:ascii="仿宋_GB2312" w:hAnsi="仿宋_GB2312" w:eastAsia="仿宋_GB2312" w:cs="仿宋_GB2312"/>
                <w:color w:val="auto"/>
                <w:kern w:val="0"/>
                <w:sz w:val="20"/>
                <w:szCs w:val="20"/>
                <w:highlight w:val="none"/>
                <w:lang w:val="en-US" w:eastAsia="zh-CN" w:bidi="ar-SA"/>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《中华人民共和国残疾人保障法》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第五十九条　残疾人的合法权益受到侵害的，可以向残疾人组织投诉，残疾人组织应当维护残疾人的合法权益，有权要求有关部门或者单位查处。有关部门或者单位应当依法查处，并予以答复。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残疾人组织对残疾人通过诉讼维护其合法权益需要帮助的，应当给予支持。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残疾人组织对侵害特定残疾人群体利益的行为，有权要求有关部门依法查处。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国家工作人员未依法履行职责，对侵害残疾人权益的行为未及时制止或者未给予受害残疾人必要帮助，造成严重后果的，由其所在单位或者上级机关依法对直接负责的主管人员和其他直接责任人员给予处分。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 </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8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第六十七条　违反本法规定，侵害残疾人的合法权益，其他法律、法规规定行政处罚的，从其规定；造成财产损失或者其他损害的，依法承担民事责任；构成犯罪的，依法追究刑事责任。</w:t>
            </w:r>
          </w:p>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i w:val="0"/>
                <w:iCs w:val="0"/>
                <w:caps w:val="0"/>
                <w:color w:val="auto"/>
                <w:spacing w:val="0"/>
                <w:sz w:val="20"/>
                <w:szCs w:val="20"/>
                <w:highlight w:val="none"/>
                <w:shd w:val="clear" w:fill="FFFFFF"/>
              </w:rPr>
              <w:t>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根据《广西壮族自治区民政厅 广西壮族自治区财政厅 广西壮族自治区残疾人联合会关于进一步加强和改进残疾人两项补贴发放工作的通知》（桂民规〔2020〕1号）精神，乡镇人民政府、街道办事处负责残疾人两项补贴的认定工作，县级民政部门负责做好残疾人两项补贴资金的发放、使用管理，加强业务指导和日常工作监管。</w:t>
            </w:r>
          </w:p>
        </w:tc>
      </w:tr>
      <w:tr>
        <w:tblPrEx>
          <w:tblCellMar>
            <w:top w:w="28" w:type="dxa"/>
            <w:left w:w="28" w:type="dxa"/>
            <w:bottom w:w="28" w:type="dxa"/>
            <w:right w:w="28" w:type="dxa"/>
          </w:tblCellMar>
        </w:tblPrEx>
        <w:trPr>
          <w:trHeight w:val="2417"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16</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rPr>
              <w:t>对草原保护、建设和利用情况的监督检查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napToGrid w:val="0"/>
                <w:sz w:val="20"/>
                <w:szCs w:val="20"/>
                <w:highlight w:val="none"/>
                <w:lang w:val="en-US" w:eastAsia="zh-CN"/>
              </w:rPr>
              <w:t>三江侗族自治县</w:t>
            </w:r>
            <w:r>
              <w:rPr>
                <w:rFonts w:hint="eastAsia" w:ascii="仿宋_GB2312" w:hAnsi="仿宋_GB2312" w:eastAsia="仿宋_GB2312" w:cs="仿宋_GB2312"/>
                <w:snapToGrid w:val="0"/>
                <w:sz w:val="20"/>
                <w:szCs w:val="20"/>
                <w:highlight w:val="none"/>
                <w:lang w:eastAsia="zh-CN"/>
              </w:rPr>
              <w:t>古宜镇</w:t>
            </w:r>
            <w:r>
              <w:rPr>
                <w:rFonts w:hint="eastAsia" w:ascii="仿宋_GB2312" w:hAnsi="仿宋_GB2312" w:eastAsia="仿宋_GB2312" w:cs="仿宋_GB2312"/>
                <w:snapToGrid w:val="0"/>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林业工作站</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rPr>
              <w:t>【法律】《中华人民共和国草原法》第八</w:t>
            </w:r>
            <w:r>
              <w:rPr>
                <w:rFonts w:hint="eastAsia" w:ascii="仿宋_GB2312" w:hAnsi="仿宋_GB2312" w:eastAsia="仿宋_GB2312" w:cs="仿宋_GB2312"/>
                <w:kern w:val="0"/>
                <w:sz w:val="20"/>
                <w:szCs w:val="20"/>
                <w:highlight w:val="none"/>
                <w:lang w:eastAsia="zh-CN"/>
              </w:rPr>
              <w:t>条：</w:t>
            </w:r>
            <w:r>
              <w:rPr>
                <w:rFonts w:hint="eastAsia" w:ascii="仿宋_GB2312" w:hAnsi="仿宋_GB2312" w:eastAsia="仿宋_GB2312" w:cs="仿宋_GB2312"/>
                <w:kern w:val="0"/>
                <w:sz w:val="20"/>
                <w:szCs w:val="20"/>
                <w:highlight w:val="none"/>
              </w:rPr>
              <w:t>国务院草原行政主管部门主管全国草原监督管理工作。县级以上地方人民政府草原行政主管部门主管本行政区域内草原监督管理工作。乡（镇）人民政府应当加强对本行政区域内草原保护、建设和利用情况的监督检查，根据需要可以设专职或者兼职人员负责具体监督检查工作。</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1.选案责任：根据随机抽查细则、举报或上级安排以及日常管理中发现的问题确定检查对象。一般需提前1—2日通知被检查对象。</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2.检查责任：（1）检查应按有关程序进行，指定专人负责，及时组织调查取证，与当事人有直接利害关系的应当回避。（2）检查人员不得少于两人，调查时应出示执法证件，允许当事人辩解陈述。（3）填写《现场检查（勘察）笔录》，发现违法现象或行为进行现场取证并及时报告。</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3.处理责任：核实检查报告及其他有关材料，对违法行为做出处理决定。</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rPr>
              <w:t>4.其他法律法规规章文件规定应履行的责任。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规范性文件】《国务院办公厅关于推广随机抽查规范事中事后监管的通知》（国办发〔2015〕58号）第二大点的“（三）合理确定随机抽查的比例和频次”。要根据当地经济社会发展和监管领域实际情况，合理确定随机抽查的比例和频次，既要保证必要的抽查覆盖面和工作力度，又要防止检查过多和执法扰民。对投诉举报多、列入经营异常名录或有严重违法违规记录等情况的市场主体，要加大随机抽查力度。</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2.【法律】《中华人民共和国行政处罚法》第三十七条第一款：行政机关在调查或者进行检查时，执法人员不得少于两人，并应当向当事人或者有关人员出示证件。当事人或者有关人员应当如实回答询问，并协助调查或者检查，不得阻挠。询问或者检查应当制作笔录。</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rPr>
              <w:t>3.【规范性文件】《国务院办公厅关于推广随机抽查规范事中事后监管的通知》（国办发〔2015〕58号）第二大点的“（四）加强抽查结果运用。对抽查发现的违法违规行为，要依法依规加大惩处力度，形成有效震慑，增强市场主体守法的自觉性。抽查情况及查处结果要及时向社会公布，接受社会监督。”</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因不履行或不正确履行行政职责，有下列情形的，行政机关及相关工作人员应承担相应责任：</w:t>
            </w:r>
          </w:p>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1.不履行或不正确履行职责，对检查工作没有认真执行的  ）；</w:t>
            </w:r>
          </w:p>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2.在监督检查中玩忽职守、徇私舞弊的  ）；</w:t>
            </w:r>
          </w:p>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3.在监督检查中滥用职权，谋取不正当利益和发生腐败行为的  ）；</w:t>
            </w:r>
          </w:p>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4.其他违反法律法规规章文件规定的行为  ）。</w:t>
            </w:r>
          </w:p>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1.【行政法规】《行政机关公务员处分条例》（2007年4月22日国务院令第495号颁布，2007年6月1日起施行）第二十条 有下列行为之一的，给予记过、记大过处分；情节较重的，给予降级或者撤职处分；情节严重的，给予开除处分：（四）其他玩忽职守、贻误工作的行为。</w:t>
            </w:r>
          </w:p>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2.同1.</w:t>
            </w:r>
          </w:p>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3.【行政法规】《行政机关公务员处分条例》（2007年4月22日国务院令第495号颁布，2007年6月1日起施行）第二十三条 有贪污、索贿、受贿、行贿、介绍贿赂、挪用公款、利用职务之便为自己或者他人谋取私利、巨额财产来源不明等违反廉政纪律行为的，给予记过或者记大过处分；情节较重的，给予降级或者撤职处分；情节严重的，给予开除处分。         </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 xml:space="preserve"> 法律法规规章规定的免责情形以及《自治区党委办公厅关于印发〈深入推进激励干部新时代新担当新作为工作实施方案〉等6个文件的通知》中明确的免责情形。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17</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对生产经营单位提取、使用和管理安全费用情况的监督检查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napToGrid w:val="0"/>
                <w:sz w:val="20"/>
                <w:szCs w:val="20"/>
                <w:highlight w:val="none"/>
                <w:lang w:val="en-US" w:eastAsia="zh-CN"/>
              </w:rPr>
              <w:t>三江侗族自治县</w:t>
            </w:r>
            <w:r>
              <w:rPr>
                <w:rFonts w:hint="eastAsia" w:ascii="仿宋_GB2312" w:hAnsi="仿宋_GB2312" w:eastAsia="仿宋_GB2312" w:cs="仿宋_GB2312"/>
                <w:snapToGrid w:val="0"/>
                <w:sz w:val="20"/>
                <w:szCs w:val="20"/>
                <w:highlight w:val="none"/>
                <w:lang w:eastAsia="zh-CN"/>
              </w:rPr>
              <w:t>古宜镇</w:t>
            </w:r>
            <w:r>
              <w:rPr>
                <w:rFonts w:hint="eastAsia" w:ascii="仿宋_GB2312" w:hAnsi="仿宋_GB2312" w:eastAsia="仿宋_GB2312" w:cs="仿宋_GB2312"/>
                <w:snapToGrid w:val="0"/>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社会治理和应急管理办公室</w:t>
            </w:r>
            <w:r>
              <w:rPr>
                <w:rFonts w:hint="eastAsia" w:ascii="仿宋_GB2312" w:hAnsi="仿宋_GB2312" w:eastAsia="仿宋_GB2312" w:cs="仿宋_GB2312"/>
                <w:color w:val="auto"/>
                <w:kern w:val="0"/>
                <w:sz w:val="20"/>
                <w:szCs w:val="20"/>
                <w:highlight w:val="none"/>
                <w:lang w:val="en-US" w:eastAsia="zh-CN" w:bidi="ar-SA"/>
              </w:rPr>
              <w:t>（综合行政执法办公室）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 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二十三条：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2.【规范性文件】《企业安全生产费用提取和使用管理办法》（财企〔2012〕16号）第三十五条：各级财政部门、安全生产监督管理部门、煤矿安全监察机构和有关行业主管部门依法对企业安全费用提取、使用和管理进行监督检查。</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因不履行或不正确履行职责，有下列情形之一的，应承担相应的责任：</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1.在监督检查中发现重大事故隐患，不依法及时处理的（机关纪委）；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2.在监督检查中滥用职权、玩忽职守、徇私舞弊行为的（机关纪委）；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3.利用职务上的便利，索取或者收受他人财物、以权谋私的（机关纪委）；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4.违反规定程序实施监督检查的（机关纪委）；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1.【法律】</w:t>
            </w:r>
            <w:r>
              <w:rPr>
                <w:rFonts w:hint="eastAsia" w:ascii="仿宋_GB2312" w:hAnsi="仿宋_GB2312" w:eastAsia="仿宋_GB2312" w:cs="仿宋_GB2312"/>
                <w:color w:val="000000"/>
                <w:kern w:val="0"/>
                <w:sz w:val="20"/>
                <w:szCs w:val="20"/>
                <w:highlight w:val="none"/>
                <w:lang w:eastAsia="zh-CN"/>
              </w:rPr>
              <w:t>《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w:t>
            </w:r>
            <w:r>
              <w:rPr>
                <w:rFonts w:hint="eastAsia" w:ascii="仿宋_GB2312" w:hAnsi="仿宋_GB2312" w:eastAsia="仿宋_GB2312" w:cs="仿宋_GB2312"/>
                <w:color w:val="000000"/>
                <w:kern w:val="0"/>
                <w:sz w:val="20"/>
                <w:szCs w:val="20"/>
                <w:highlight w:val="none"/>
              </w:rPr>
              <w:t>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2.同1。</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highlight w:val="none"/>
                <w:lang w:eastAsia="zh-CN"/>
              </w:rPr>
              <w:t>条：</w:t>
            </w:r>
            <w:r>
              <w:rPr>
                <w:rFonts w:hint="eastAsia" w:ascii="仿宋_GB2312" w:hAnsi="仿宋_GB2312" w:eastAsia="仿宋_GB2312" w:cs="仿宋_GB2312"/>
                <w:color w:val="000000"/>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adjustRightInd w:val="0"/>
              <w:snapToGrid w:val="0"/>
              <w:spacing w:line="300" w:lineRule="exact"/>
              <w:rPr>
                <w:rFonts w:hint="eastAsia" w:ascii="仿宋_GB2312" w:hAnsi="仿宋_GB2312" w:eastAsia="仿宋_GB2312" w:cs="仿宋_GB2312"/>
                <w:color w:val="000000"/>
                <w:kern w:val="0"/>
                <w:sz w:val="20"/>
                <w:szCs w:val="20"/>
                <w:highlight w:val="none"/>
              </w:rPr>
            </w:pP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18</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对生产经营单位消除重大事故隐患的监督检查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napToGrid w:val="0"/>
                <w:sz w:val="20"/>
                <w:szCs w:val="20"/>
                <w:highlight w:val="none"/>
                <w:lang w:val="en-US" w:eastAsia="zh-CN"/>
              </w:rPr>
              <w:t>三江侗族自治县</w:t>
            </w:r>
            <w:r>
              <w:rPr>
                <w:rFonts w:hint="eastAsia" w:ascii="仿宋_GB2312" w:hAnsi="仿宋_GB2312" w:eastAsia="仿宋_GB2312" w:cs="仿宋_GB2312"/>
                <w:snapToGrid w:val="0"/>
                <w:sz w:val="20"/>
                <w:szCs w:val="20"/>
                <w:highlight w:val="none"/>
                <w:lang w:eastAsia="zh-CN"/>
              </w:rPr>
              <w:t>古宜镇</w:t>
            </w:r>
            <w:r>
              <w:rPr>
                <w:rFonts w:hint="eastAsia" w:ascii="仿宋_GB2312" w:hAnsi="仿宋_GB2312" w:eastAsia="仿宋_GB2312" w:cs="仿宋_GB2312"/>
                <w:snapToGrid w:val="0"/>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default"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lang w:val="en-US" w:eastAsia="zh-CN" w:bidi="ar-SA"/>
              </w:rPr>
              <w:t>社会治理和应急管理办公室</w:t>
            </w:r>
            <w:r>
              <w:rPr>
                <w:rFonts w:hint="eastAsia" w:ascii="仿宋_GB2312" w:hAnsi="仿宋_GB2312" w:eastAsia="仿宋_GB2312" w:cs="仿宋_GB2312"/>
                <w:color w:val="auto"/>
                <w:kern w:val="0"/>
                <w:sz w:val="20"/>
                <w:szCs w:val="20"/>
                <w:highlight w:val="none"/>
                <w:lang w:val="en-US" w:eastAsia="zh-CN" w:bidi="ar-SA"/>
              </w:rPr>
              <w:t>（综合行政执法办公室）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  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第四十一条：生产经营单位应当建立安全风险分级管控制度，按照安全风险分级采取相应的管控措施。</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县级以上地方各级人民政府负有安全生产监督管理职责的部门应当将重大事故隐患纳入相关信息系统，建立健全重大事故隐患治理督办制度，督促生产经营单位消除重大事故隐患。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 xml:space="preserve">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因不履行或不正确履行职责，有下列情形之一的，应承担相应的责任：</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1.在监督检查中发现重大事故隐患，不依法及时处理的（机关纪委）；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2.在监督检查中滥用职权、玩忽职守、徇私舞弊行为的（机关纪委）；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3.利用职务上的便利，索取或者收受他人财物、以权谋私的（机关纪委）；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4.违反规定程序实施监督检查的（机关纪委）；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2.同1。</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highlight w:val="none"/>
                <w:lang w:eastAsia="zh-CN"/>
              </w:rPr>
              <w:t>条：</w:t>
            </w:r>
            <w:r>
              <w:rPr>
                <w:rFonts w:hint="eastAsia" w:ascii="仿宋_GB2312" w:hAnsi="仿宋_GB2312" w:eastAsia="仿宋_GB2312" w:cs="仿宋_GB2312"/>
                <w:color w:val="000000"/>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adjustRightInd w:val="0"/>
              <w:snapToGrid w:val="0"/>
              <w:spacing w:line="300" w:lineRule="exact"/>
              <w:rPr>
                <w:rFonts w:hint="eastAsia" w:ascii="仿宋_GB2312" w:hAnsi="仿宋_GB2312" w:eastAsia="仿宋_GB2312" w:cs="仿宋_GB2312"/>
                <w:color w:val="000000"/>
                <w:kern w:val="0"/>
                <w:sz w:val="20"/>
                <w:szCs w:val="20"/>
                <w:highlight w:val="none"/>
              </w:rPr>
            </w:pP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19</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对安全生产评价、检验、检测机构的监督检查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sz w:val="20"/>
                <w:szCs w:val="20"/>
                <w:highlight w:val="none"/>
                <w:lang w:val="en-US" w:eastAsia="zh-CN"/>
              </w:rPr>
              <w:t>三江侗族自治县</w:t>
            </w:r>
            <w:r>
              <w:rPr>
                <w:rFonts w:hint="eastAsia" w:ascii="仿宋_GB2312" w:hAnsi="仿宋_GB2312" w:eastAsia="仿宋_GB2312" w:cs="仿宋_GB2312"/>
                <w:snapToGrid w:val="0"/>
                <w:sz w:val="20"/>
                <w:szCs w:val="20"/>
                <w:highlight w:val="none"/>
                <w:lang w:eastAsia="zh-CN"/>
              </w:rPr>
              <w:t>古宜镇</w:t>
            </w:r>
            <w:r>
              <w:rPr>
                <w:rFonts w:hint="eastAsia" w:ascii="仿宋_GB2312" w:hAnsi="仿宋_GB2312" w:eastAsia="仿宋_GB2312" w:cs="仿宋_GB2312"/>
                <w:snapToGrid w:val="0"/>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社会治理和应急管理办公室（综合行政执法办公室）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  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三条：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2.【部门规章】《安全评价检测检验机构管理办法》（2019年应急管理部令第1号）第三条第三款：设区的市级人民政府、县级人民政府应急管理部门、煤矿安全生产监督管理部门按照各自的职责，对安全评价检测检验机构执业行为实施监督检查，并对发现的违法行为依法实施行政处罚。</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1.【法律】《</w:t>
            </w:r>
            <w:r>
              <w:rPr>
                <w:rFonts w:hint="eastAsia" w:ascii="仿宋_GB2312" w:hAnsi="仿宋_GB2312" w:eastAsia="仿宋_GB2312" w:cs="仿宋_GB2312"/>
                <w:color w:val="000000"/>
                <w:kern w:val="0"/>
                <w:sz w:val="20"/>
                <w:szCs w:val="20"/>
                <w:highlight w:val="none"/>
                <w:lang w:eastAsia="zh-CN"/>
              </w:rPr>
              <w:t>中华人民共和国安全生产法</w:t>
            </w:r>
            <w:r>
              <w:rPr>
                <w:rFonts w:hint="eastAsia" w:ascii="仿宋_GB2312" w:hAnsi="仿宋_GB2312" w:eastAsia="仿宋_GB2312" w:cs="仿宋_GB2312"/>
                <w:color w:val="000000"/>
                <w:kern w:val="0"/>
                <w:sz w:val="20"/>
                <w:szCs w:val="20"/>
                <w:highlight w:val="none"/>
              </w:rPr>
              <w:t>》第九十条</w:t>
            </w:r>
            <w:r>
              <w:rPr>
                <w:rFonts w:hint="eastAsia" w:ascii="仿宋_GB2312" w:hAnsi="仿宋_GB2312" w:eastAsia="仿宋_GB2312" w:cs="仿宋_GB2312"/>
                <w:color w:val="000000"/>
                <w:kern w:val="0"/>
                <w:sz w:val="20"/>
                <w:szCs w:val="20"/>
                <w:highlight w:val="none"/>
                <w:lang w:eastAsia="zh-CN"/>
              </w:rPr>
              <w:t>：</w:t>
            </w:r>
            <w:r>
              <w:rPr>
                <w:rFonts w:hint="eastAsia" w:ascii="仿宋_GB2312" w:hAnsi="仿宋_GB2312" w:eastAsia="仿宋_GB2312" w:cs="仿宋_GB2312"/>
                <w:color w:val="000000"/>
                <w:kern w:val="0"/>
                <w:sz w:val="20"/>
                <w:szCs w:val="20"/>
                <w:highlight w:val="none"/>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highlight w:val="none"/>
                <w:lang w:eastAsia="zh-CN"/>
              </w:rPr>
              <w:t>条：</w:t>
            </w:r>
            <w:r>
              <w:rPr>
                <w:rFonts w:hint="eastAsia" w:ascii="仿宋_GB2312" w:hAnsi="仿宋_GB2312" w:eastAsia="仿宋_GB2312" w:cs="仿宋_GB2312"/>
                <w:color w:val="000000"/>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20</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对非煤矿山企业劳动条件、安全状况、作业场所、生产设备、职工安全教育和培训工作等情况的监督检查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古宜镇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社会治理和应急管理办公室（综合行政执法办公室）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2.【法律】《中华人民共和国矿山安全法》第三十三条：县级以上各级人民政府劳动行政主管部门对矿山安全工作行使下列监督职责：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（一）检查矿山企业和管理矿山企业的主管部门贯彻执行矿山安全法律、法规的情况；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（二）参加矿山建设工程安全设施的设计审查和竣工验收；</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（三）检查矿山劳动条件和安全状况；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（四）检查矿山企业职工安全教育、培训工作；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（五）监督矿山企业提取和使用安全技术措施专项费用的情况；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（六）参加并监督矿山事故的调查和处理；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（七）法律、行政法规规定的其他监督职责。</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1.【法律】《</w:t>
            </w:r>
            <w:r>
              <w:rPr>
                <w:rFonts w:hint="eastAsia" w:ascii="仿宋_GB2312" w:hAnsi="仿宋_GB2312" w:eastAsia="仿宋_GB2312" w:cs="仿宋_GB2312"/>
                <w:color w:val="000000"/>
                <w:kern w:val="0"/>
                <w:sz w:val="20"/>
                <w:szCs w:val="20"/>
                <w:highlight w:val="none"/>
                <w:lang w:eastAsia="zh-CN"/>
              </w:rPr>
              <w:t>中华人民共和国安全生产法</w:t>
            </w:r>
            <w:r>
              <w:rPr>
                <w:rFonts w:hint="eastAsia" w:ascii="仿宋_GB2312" w:hAnsi="仿宋_GB2312" w:eastAsia="仿宋_GB2312" w:cs="仿宋_GB2312"/>
                <w:color w:val="000000"/>
                <w:kern w:val="0"/>
                <w:sz w:val="20"/>
                <w:szCs w:val="20"/>
                <w:highlight w:val="none"/>
              </w:rPr>
              <w:t>》第九十条</w:t>
            </w:r>
            <w:r>
              <w:rPr>
                <w:rFonts w:hint="eastAsia" w:ascii="仿宋_GB2312" w:hAnsi="仿宋_GB2312" w:eastAsia="仿宋_GB2312" w:cs="仿宋_GB2312"/>
                <w:color w:val="000000"/>
                <w:kern w:val="0"/>
                <w:sz w:val="20"/>
                <w:szCs w:val="20"/>
                <w:highlight w:val="none"/>
                <w:lang w:eastAsia="zh-CN"/>
              </w:rPr>
              <w:t>：</w:t>
            </w:r>
            <w:r>
              <w:rPr>
                <w:rFonts w:hint="eastAsia" w:ascii="仿宋_GB2312" w:hAnsi="仿宋_GB2312" w:eastAsia="仿宋_GB2312" w:cs="仿宋_GB2312"/>
                <w:color w:val="000000"/>
                <w:kern w:val="0"/>
                <w:sz w:val="20"/>
                <w:szCs w:val="20"/>
                <w:highlight w:val="none"/>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highlight w:val="none"/>
                <w:lang w:eastAsia="zh-CN"/>
              </w:rPr>
              <w:t>条：</w:t>
            </w:r>
            <w:r>
              <w:rPr>
                <w:rFonts w:hint="eastAsia" w:ascii="仿宋_GB2312" w:hAnsi="仿宋_GB2312" w:eastAsia="仿宋_GB2312" w:cs="仿宋_GB2312"/>
                <w:color w:val="000000"/>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highlight w:val="none"/>
                <w:lang w:val="en-US" w:eastAsia="zh-CN"/>
              </w:rPr>
            </w:pPr>
            <w:r>
              <w:rPr>
                <w:rFonts w:hint="eastAsia" w:ascii="仿宋_GB2312" w:hAnsi="仿宋_GB2312" w:eastAsia="仿宋_GB2312" w:cs="仿宋_GB2312"/>
                <w:kern w:val="0"/>
                <w:sz w:val="20"/>
                <w:szCs w:val="20"/>
                <w:highlight w:val="none"/>
                <w:lang w:val="en-US" w:eastAsia="zh-CN"/>
              </w:rPr>
              <w:t>21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对危险化学品生产、储存、使用、经营、运输企业安全生产情况的监督检查和隐患排查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古宜镇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社会治理和应急管理办公室（综合行政执法办公室）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部门规章】《危险化学品安全管理条例》（2002年国务院令第344号公布，2013年国务院令第645号修订）第七十六条：未经安全条件审查，新建、改建、扩建生产、储存危险化学品的建设项目的，由安全生产监督管理部门责令停止建设，限期改正；逾期不改正的，处50万元以上100万元以下的罚款；构成犯罪的，依法追究刑事责任。</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未经安全条件审查，新建、改建、扩建储存、装卸危险化学品的港口建设项目的，由港口行政管理部门依照前款规定予以处罚。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第七条：负有危险化学品安全监督管理职责的部门依法进行监督检查，可以采取下列措施：</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（一）进入危险化学品作业场所实施现场检查，向有关单位和人员了解情况，查阅、复制有关文件、资料；</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（二）发现危险化学品事故隐患，责令立即消除或者限期消除；</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（三）对不符合法律、行政法规、规章规定或者国家标准、行业标准要求的设施、设备、装置、器材、运输工具，责令立即停止使用；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经本部门主要负责人批准，查封违法生产、储存、使用、经营危险化学品的场所，扣押违法生产、储存、使用、经营、运输的危险化学品以及用于违法生产、使用、运输危险化学品的原材料、设备、运输工具；</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（五）发现影响危险化学品安全的违法行为，当场予以纠正或者责令限期改正。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负有危险化学品安全监督管理职责的部门依法进行监督检查，监督检查人员不得少于2人，并应当出示执法证件；有关单位和个人对依法进行的监督检查应当予以配合，不得拒绝、阻碍。</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因不履行或不正确履行职责，有下列情形之一的，应承担相应的责任：</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1.在监督检查中发现重大事故隐患，不依法及时处理的（机关纪委）；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2.在监督检查中滥用职权、玩忽职守、徇私舞弊行为的（机关纪委）；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3.利用职务上的便利，索取或者收受他人财物、以权谋私的（机关纪委）；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4.违反规定程序实施监督检查的（机关纪委）；</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2.同1。</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highlight w:val="none"/>
                <w:lang w:eastAsia="zh-CN"/>
              </w:rPr>
              <w:t>条：</w:t>
            </w:r>
            <w:r>
              <w:rPr>
                <w:rFonts w:hint="eastAsia" w:ascii="仿宋_GB2312" w:hAnsi="仿宋_GB2312" w:eastAsia="仿宋_GB2312" w:cs="仿宋_GB2312"/>
                <w:color w:val="000000"/>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widowControl/>
              <w:adjustRightInd w:val="0"/>
              <w:snapToGrid w:val="0"/>
              <w:spacing w:line="300" w:lineRule="exact"/>
              <w:rPr>
                <w:rFonts w:hint="eastAsia" w:ascii="仿宋_GB2312" w:hAnsi="仿宋_GB2312" w:eastAsia="仿宋_GB2312" w:cs="仿宋_GB2312"/>
                <w:color w:val="000000"/>
                <w:kern w:val="0"/>
                <w:sz w:val="20"/>
                <w:szCs w:val="20"/>
                <w:highlight w:val="none"/>
              </w:rPr>
            </w:pP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22</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对烟花爆竹生产企业的监督检查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古宜镇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社会治理和应急管理办公室（综合行政执法办公室）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部门规章】《烟花爆竹生产企业安全生产许可证实施办法》（2012年国家安全监管总局令第54号）第三十五条：发证机关及所在地人民政府安全生产监督管理部门应当加强对烟花爆竹生产企业的监督检查，督促其依照法律、法规、规章和国家标准、行业标准的规定进行生产。</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十条：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2.同1。</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highlight w:val="none"/>
                <w:lang w:eastAsia="zh-CN"/>
              </w:rPr>
              <w:t>条：</w:t>
            </w:r>
            <w:r>
              <w:rPr>
                <w:rFonts w:hint="eastAsia" w:ascii="仿宋_GB2312" w:hAnsi="仿宋_GB2312" w:eastAsia="仿宋_GB2312" w:cs="仿宋_GB2312"/>
                <w:color w:val="000000"/>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行公务活动不出示有效证件；（五）其他违反法定程序的情形。</w:t>
            </w:r>
          </w:p>
          <w:p>
            <w:pPr>
              <w:keepNext w:val="0"/>
              <w:keepLines w:val="0"/>
              <w:pageBreakBefore w:val="0"/>
              <w:widowControl/>
              <w:kinsoku/>
              <w:wordWrap/>
              <w:overflowPunct/>
              <w:topLinePunct w:val="0"/>
              <w:autoSpaceDE/>
              <w:autoSpaceDN/>
              <w:bidi w:val="0"/>
              <w:adjustRightInd w:val="0"/>
              <w:snapToGrid w:val="0"/>
              <w:spacing w:line="300" w:lineRule="exact"/>
              <w:ind w:firstLine="400" w:firstLineChars="200"/>
              <w:textAlignment w:val="auto"/>
              <w:rPr>
                <w:rFonts w:hint="eastAsia" w:ascii="仿宋_GB2312" w:hAnsi="仿宋_GB2312" w:eastAsia="仿宋_GB2312" w:cs="仿宋_GB2312"/>
                <w:color w:val="000000"/>
                <w:kern w:val="0"/>
                <w:sz w:val="20"/>
                <w:szCs w:val="20"/>
                <w:highlight w:val="none"/>
              </w:rPr>
            </w:pP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highlight w:val="none"/>
                <w:lang w:val="en-US" w:eastAsia="zh-CN"/>
              </w:rPr>
            </w:pPr>
            <w:r>
              <w:rPr>
                <w:rFonts w:hint="eastAsia" w:ascii="仿宋_GB2312" w:hAnsi="仿宋_GB2312" w:eastAsia="仿宋_GB2312" w:cs="仿宋_GB2312"/>
                <w:kern w:val="0"/>
                <w:sz w:val="20"/>
                <w:szCs w:val="20"/>
                <w:highlight w:val="none"/>
                <w:lang w:val="en-US" w:eastAsia="zh-CN"/>
              </w:rPr>
              <w:t>23</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对非药品类易制毒化学品生产、经营的监督检查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古宜镇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社会治理和应急管理办公室（综合行政执法办公室）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行政法规】《易制毒化学品管理条例》（2005年国务院令第445号公布，2018年国务院令第703号修订）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3.【部门规章】《非药品类易制毒化学品生产、经营许可实施办法》（2006年国家安全生产监督管理总局令第60号）第二十五条：县级以上人民政府安全生产监督管理部门应当加强非药品类易制毒化学品生产、经营的监督检查工作。</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1.【法律】《</w:t>
            </w:r>
            <w:r>
              <w:rPr>
                <w:rFonts w:hint="eastAsia" w:ascii="仿宋_GB2312" w:hAnsi="仿宋_GB2312" w:eastAsia="仿宋_GB2312" w:cs="仿宋_GB2312"/>
                <w:color w:val="000000"/>
                <w:kern w:val="0"/>
                <w:sz w:val="20"/>
                <w:szCs w:val="20"/>
                <w:highlight w:val="none"/>
                <w:lang w:eastAsia="zh-CN"/>
              </w:rPr>
              <w:t>中华人民共和国安全生产法</w:t>
            </w:r>
            <w:r>
              <w:rPr>
                <w:rFonts w:hint="eastAsia" w:ascii="仿宋_GB2312" w:hAnsi="仿宋_GB2312" w:eastAsia="仿宋_GB2312" w:cs="仿宋_GB2312"/>
                <w:color w:val="000000"/>
                <w:kern w:val="0"/>
                <w:sz w:val="20"/>
                <w:szCs w:val="20"/>
                <w:highlight w:val="none"/>
              </w:rPr>
              <w:t>》第九十条</w:t>
            </w:r>
            <w:r>
              <w:rPr>
                <w:rFonts w:hint="eastAsia" w:ascii="仿宋_GB2312" w:hAnsi="仿宋_GB2312" w:eastAsia="仿宋_GB2312" w:cs="仿宋_GB2312"/>
                <w:color w:val="000000"/>
                <w:kern w:val="0"/>
                <w:sz w:val="20"/>
                <w:szCs w:val="20"/>
                <w:highlight w:val="none"/>
                <w:lang w:eastAsia="zh-CN"/>
              </w:rPr>
              <w:t>：</w:t>
            </w:r>
            <w:r>
              <w:rPr>
                <w:rFonts w:hint="eastAsia" w:ascii="仿宋_GB2312" w:hAnsi="仿宋_GB2312" w:eastAsia="仿宋_GB2312" w:cs="仿宋_GB2312"/>
                <w:color w:val="000000"/>
                <w:kern w:val="0"/>
                <w:sz w:val="20"/>
                <w:szCs w:val="20"/>
                <w:highlight w:val="none"/>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highlight w:val="none"/>
                <w:lang w:eastAsia="zh-CN"/>
              </w:rPr>
              <w:t>条：</w:t>
            </w:r>
            <w:r>
              <w:rPr>
                <w:rFonts w:hint="eastAsia" w:ascii="仿宋_GB2312" w:hAnsi="仿宋_GB2312" w:eastAsia="仿宋_GB2312" w:cs="仿宋_GB2312"/>
                <w:color w:val="000000"/>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kern w:val="0"/>
                <w:sz w:val="20"/>
                <w:szCs w:val="20"/>
                <w:highlight w:val="none"/>
                <w:lang w:val="en-US" w:eastAsia="zh-CN"/>
              </w:rPr>
            </w:pPr>
            <w:r>
              <w:rPr>
                <w:rFonts w:hint="eastAsia" w:ascii="仿宋_GB2312" w:hAnsi="仿宋_GB2312" w:eastAsia="仿宋_GB2312" w:cs="仿宋_GB2312"/>
                <w:kern w:val="0"/>
                <w:sz w:val="20"/>
                <w:szCs w:val="20"/>
                <w:highlight w:val="none"/>
                <w:lang w:val="en-US" w:eastAsia="zh-CN"/>
              </w:rPr>
              <w:t>24</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对存在重大危险源的危险化学品单位的监督检查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FF0000"/>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FF0000"/>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古宜镇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FF0000"/>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社会治理和应急管理办公室</w:t>
            </w:r>
            <w:r>
              <w:rPr>
                <w:rFonts w:hint="eastAsia" w:ascii="仿宋_GB2312" w:hAnsi="仿宋_GB2312" w:eastAsia="仿宋_GB2312" w:cs="仿宋_GB2312"/>
                <w:color w:val="auto"/>
                <w:kern w:val="0"/>
                <w:sz w:val="20"/>
                <w:szCs w:val="20"/>
                <w:highlight w:val="none"/>
                <w:lang w:val="en-US" w:eastAsia="zh-CN" w:bidi="ar-SA"/>
              </w:rPr>
              <w:t>（综合行政执法办公室）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部门规章】《危险化学品重大危险源监督管理暂行规定》（2011年国家安全生产监督管理总局令第40号公布，2015年国家安全监管总局令第79号修正）第三十条：县级以上地方各级人民政府安全生产监督管理部门应当加强对存在重大危险源的危险化学品单位的监督检查，督促危险化学品单位做好重大危险源的辨识、安全评估及分级、登记建档、备案、监测监控、事故应急预案编制、核销和安全管理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首次对重大危险源的监督检查应当包括下列主要内容：</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（一）重大危险源的运行情况、安全管理规章制度及安全操作规程制定和落实情况；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（二）重大危险源的辨识、分级、安全评估、登记建档、备案情况；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（三）重大危险源的监测监控情况；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（四）重大危险源安全设施和安全监测监控系统的检测、检验以及维护保养情况；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（五）重大危险源事故应急预案的编制、评审、备案、修订和演练情况；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（六）有关从业人员的安全培训教育情况；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（七）安全标志设置情况；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（八）应急救援器材、设备、物资配备情况；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（九）预防和控制事故措施的落实情况。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安全生产监督管理部门在监督检查中发现重大危险源存在事故隐患的，应当责令立即排除；重大事故隐患排除前或者排除过程中无法保证安全的，应当责令从危险区域内撤出作业人员，责令暂时停产停业或者停止使用；重大事故隐患排除后，经安全生产监督管理部门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1.【法律】《</w:t>
            </w:r>
            <w:r>
              <w:rPr>
                <w:rFonts w:hint="eastAsia" w:ascii="仿宋_GB2312" w:hAnsi="仿宋_GB2312" w:eastAsia="仿宋_GB2312" w:cs="仿宋_GB2312"/>
                <w:color w:val="000000"/>
                <w:kern w:val="0"/>
                <w:sz w:val="20"/>
                <w:szCs w:val="20"/>
                <w:highlight w:val="none"/>
                <w:lang w:eastAsia="zh-CN"/>
              </w:rPr>
              <w:t>中华人民共和国安全生产法</w:t>
            </w:r>
            <w:r>
              <w:rPr>
                <w:rFonts w:hint="eastAsia" w:ascii="仿宋_GB2312" w:hAnsi="仿宋_GB2312" w:eastAsia="仿宋_GB2312" w:cs="仿宋_GB2312"/>
                <w:color w:val="000000"/>
                <w:kern w:val="0"/>
                <w:sz w:val="20"/>
                <w:szCs w:val="20"/>
                <w:highlight w:val="none"/>
              </w:rPr>
              <w:t>》第九十条</w:t>
            </w:r>
            <w:r>
              <w:rPr>
                <w:rFonts w:hint="eastAsia" w:ascii="仿宋_GB2312" w:hAnsi="仿宋_GB2312" w:eastAsia="仿宋_GB2312" w:cs="仿宋_GB2312"/>
                <w:color w:val="000000"/>
                <w:kern w:val="0"/>
                <w:sz w:val="20"/>
                <w:szCs w:val="20"/>
                <w:highlight w:val="none"/>
                <w:lang w:eastAsia="zh-CN"/>
              </w:rPr>
              <w:t>：</w:t>
            </w:r>
            <w:r>
              <w:rPr>
                <w:rFonts w:hint="eastAsia" w:ascii="仿宋_GB2312" w:hAnsi="仿宋_GB2312" w:eastAsia="仿宋_GB2312" w:cs="仿宋_GB2312"/>
                <w:color w:val="000000"/>
                <w:kern w:val="0"/>
                <w:sz w:val="20"/>
                <w:szCs w:val="20"/>
                <w:highlight w:val="none"/>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highlight w:val="none"/>
                <w:lang w:eastAsia="zh-CN"/>
              </w:rPr>
              <w:t>条：</w:t>
            </w:r>
            <w:r>
              <w:rPr>
                <w:rFonts w:hint="eastAsia" w:ascii="仿宋_GB2312" w:hAnsi="仿宋_GB2312" w:eastAsia="仿宋_GB2312" w:cs="仿宋_GB2312"/>
                <w:color w:val="000000"/>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25</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对小型露天采石场安全生产情况情况的监督检查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古宜镇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社会治理和应急管理办公室（综合行政执法办公室）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部门规章】《小型露天采石场安全管理与监督检查规定》（2011年国家安全监管总局令第39号公布，2015年国家安全监管总局令第78号修正）第二十九条：安全生产监督管理部门应当加强对小型露天采石场的监督检查，对检查中发现的事故隐患和安全生产违法违规行为，依法作出现场处理或者实施行政处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1.【法律】《</w:t>
            </w:r>
            <w:r>
              <w:rPr>
                <w:rFonts w:hint="eastAsia" w:ascii="仿宋_GB2312" w:hAnsi="仿宋_GB2312" w:eastAsia="仿宋_GB2312" w:cs="仿宋_GB2312"/>
                <w:color w:val="000000"/>
                <w:kern w:val="0"/>
                <w:sz w:val="20"/>
                <w:szCs w:val="20"/>
                <w:highlight w:val="none"/>
                <w:lang w:eastAsia="zh-CN"/>
              </w:rPr>
              <w:t>中华人民共和国安全生产法</w:t>
            </w:r>
            <w:r>
              <w:rPr>
                <w:rFonts w:hint="eastAsia" w:ascii="仿宋_GB2312" w:hAnsi="仿宋_GB2312" w:eastAsia="仿宋_GB2312" w:cs="仿宋_GB2312"/>
                <w:color w:val="000000"/>
                <w:kern w:val="0"/>
                <w:sz w:val="20"/>
                <w:szCs w:val="20"/>
                <w:highlight w:val="none"/>
              </w:rPr>
              <w:t>》第九十条</w:t>
            </w:r>
            <w:r>
              <w:rPr>
                <w:rFonts w:hint="eastAsia" w:ascii="仿宋_GB2312" w:hAnsi="仿宋_GB2312" w:eastAsia="仿宋_GB2312" w:cs="仿宋_GB2312"/>
                <w:color w:val="000000"/>
                <w:kern w:val="0"/>
                <w:sz w:val="20"/>
                <w:szCs w:val="20"/>
                <w:highlight w:val="none"/>
                <w:lang w:eastAsia="zh-CN"/>
              </w:rPr>
              <w:t>：</w:t>
            </w:r>
            <w:r>
              <w:rPr>
                <w:rFonts w:hint="eastAsia" w:ascii="仿宋_GB2312" w:hAnsi="仿宋_GB2312" w:eastAsia="仿宋_GB2312" w:cs="仿宋_GB2312"/>
                <w:color w:val="000000"/>
                <w:kern w:val="0"/>
                <w:sz w:val="20"/>
                <w:szCs w:val="20"/>
                <w:highlight w:val="none"/>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highlight w:val="none"/>
                <w:lang w:eastAsia="zh-CN"/>
              </w:rPr>
              <w:t>条：</w:t>
            </w:r>
            <w:r>
              <w:rPr>
                <w:rFonts w:hint="eastAsia" w:ascii="仿宋_GB2312" w:hAnsi="仿宋_GB2312" w:eastAsia="仿宋_GB2312" w:cs="仿宋_GB2312"/>
                <w:color w:val="000000"/>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center"/>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26</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jc w:val="both"/>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对地质勘探单位安全生产情况的监督检查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94" w:lineRule="exact"/>
              <w:ind w:firstLine="400" w:firstLineChars="200"/>
              <w:jc w:val="both"/>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古宜镇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bidi="ar-SA"/>
              </w:rPr>
              <w:t>社会治理和应急管理办公室（综合行政执法办公室）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部门规章】《金属与非金属矿产资源地质勘探安全生产监督管理暂行规定》（2010年国家安全监管总局令第35号公布，2015年国家安全监管总局令第78号修正）第二十二条：安全生产监督管理部门应当加强对地质勘探单位安全生产的监督检查，对检查中发现的事故隐患和安全生产违法违规行为，依法作出现场处理或者实施行政处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1.【法律】《</w:t>
            </w:r>
            <w:r>
              <w:rPr>
                <w:rFonts w:hint="eastAsia" w:ascii="仿宋_GB2312" w:hAnsi="仿宋_GB2312" w:eastAsia="仿宋_GB2312" w:cs="仿宋_GB2312"/>
                <w:color w:val="auto"/>
                <w:kern w:val="0"/>
                <w:sz w:val="20"/>
                <w:szCs w:val="20"/>
                <w:highlight w:val="none"/>
                <w:lang w:eastAsia="zh-CN"/>
              </w:rPr>
              <w:t>中华人民共和国安全生产法</w:t>
            </w:r>
            <w:r>
              <w:rPr>
                <w:rFonts w:hint="eastAsia" w:ascii="仿宋_GB2312" w:hAnsi="仿宋_GB2312" w:eastAsia="仿宋_GB2312" w:cs="仿宋_GB2312"/>
                <w:color w:val="auto"/>
                <w:kern w:val="0"/>
                <w:sz w:val="20"/>
                <w:szCs w:val="20"/>
                <w:highlight w:val="none"/>
              </w:rPr>
              <w:t>》第九十条</w:t>
            </w:r>
            <w:r>
              <w:rPr>
                <w:rFonts w:hint="eastAsia" w:ascii="仿宋_GB2312" w:hAnsi="仿宋_GB2312" w:eastAsia="仿宋_GB2312" w:cs="仿宋_GB2312"/>
                <w:color w:val="auto"/>
                <w:kern w:val="0"/>
                <w:sz w:val="20"/>
                <w:szCs w:val="20"/>
                <w:highlight w:val="none"/>
                <w:lang w:eastAsia="zh-CN"/>
              </w:rPr>
              <w:t>：</w:t>
            </w:r>
            <w:r>
              <w:rPr>
                <w:rFonts w:hint="eastAsia" w:ascii="仿宋_GB2312" w:hAnsi="仿宋_GB2312" w:eastAsia="仿宋_GB2312" w:cs="仿宋_GB2312"/>
                <w:color w:val="auto"/>
                <w:kern w:val="0"/>
                <w:sz w:val="20"/>
                <w:szCs w:val="20"/>
                <w:highlight w:val="none"/>
              </w:rPr>
              <w:t>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2.同1。</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p>
        </w:tc>
      </w:tr>
      <w:tr>
        <w:tblPrEx>
          <w:tblCellMar>
            <w:top w:w="28" w:type="dxa"/>
            <w:left w:w="28" w:type="dxa"/>
            <w:bottom w:w="28" w:type="dxa"/>
            <w:right w:w="28" w:type="dxa"/>
          </w:tblCellMar>
        </w:tblPrEx>
        <w:trPr>
          <w:trHeight w:val="3856"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27</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对生产经营单位应急预案的编制、定期演练和备案等事项的监督检查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古宜镇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rPr>
            </w:pPr>
            <w:r>
              <w:rPr>
                <w:rFonts w:hint="eastAsia" w:ascii="仿宋_GB2312" w:hAnsi="仿宋_GB2312" w:eastAsia="仿宋_GB2312" w:cs="仿宋_GB2312"/>
                <w:snapToGrid w:val="0"/>
                <w:color w:val="auto"/>
                <w:sz w:val="20"/>
                <w:szCs w:val="20"/>
                <w:highlight w:val="none"/>
              </w:rPr>
              <w:t>社会治理和应急管理办公室</w:t>
            </w:r>
            <w:r>
              <w:rPr>
                <w:rFonts w:hint="eastAsia" w:ascii="仿宋_GB2312" w:hAnsi="仿宋_GB2312" w:eastAsia="仿宋_GB2312" w:cs="仿宋_GB2312"/>
                <w:color w:val="auto"/>
                <w:kern w:val="0"/>
                <w:sz w:val="20"/>
                <w:szCs w:val="20"/>
                <w:highlight w:val="none"/>
                <w:lang w:val="en-US" w:eastAsia="zh-CN" w:bidi="ar-SA"/>
              </w:rPr>
              <w:t>（综合行政执法办公室）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行政法规】《生产安全事故应急条例》（2019年国务院令第708号）第三条：国务院统一领导全国的生产安全事故应急工作，县级以上地方人民政府统一领导本行政区域内的生产安全事故应急工作。生产安全事故应急工作涉及两个以上行政区域的，由有关行政区域共同的上一级人民政府负责，或者由各有关行政区域的上一级人民政府共同负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县级以上人民政府应急管理部门和其他对有关行业、领域的安全生产工作实施监督管理的部门（以下统称负有安全生产监督管理职责的部门）在各自职责范围内，做好有关行业、领域的生产安全事故应急工作。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县级以上人民政府应急管理部门指导、协调本级人民政府其他负有安全生产监督管理职责的部门和下级人民政府的生产安全事故应急工作。</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乡、镇人民政府以及街道办事处等地方人民政府派出机关应当协助上级人民政府有关部门依法履行生产安全事故应急工作职责。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3.【部门规章】《生产安全事故应急预案管理办法》（2016年国家安全生产监督管理总局令第88号公布，2019年应急管理部令第2号修正）第四条第二款：县级以上地方各级人民政府应急管理部门负责本行政区域内应急预案的综合协调管理工作。县级以上地方各级人民政府其他负有安全生产监督管理职责的部门按照各自的职责负责有关行业、领域应急预案的管理工作。</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1.【法律】《</w:t>
            </w:r>
            <w:r>
              <w:rPr>
                <w:rFonts w:hint="eastAsia" w:ascii="仿宋_GB2312" w:hAnsi="仿宋_GB2312" w:eastAsia="仿宋_GB2312" w:cs="仿宋_GB2312"/>
                <w:color w:val="000000"/>
                <w:kern w:val="0"/>
                <w:sz w:val="20"/>
                <w:szCs w:val="20"/>
                <w:highlight w:val="none"/>
                <w:lang w:eastAsia="zh-CN"/>
              </w:rPr>
              <w:t>中华人民共和国安全生产法</w:t>
            </w:r>
            <w:r>
              <w:rPr>
                <w:rFonts w:hint="eastAsia" w:ascii="仿宋_GB2312" w:hAnsi="仿宋_GB2312" w:eastAsia="仿宋_GB2312" w:cs="仿宋_GB2312"/>
                <w:color w:val="000000"/>
                <w:kern w:val="0"/>
                <w:sz w:val="20"/>
                <w:szCs w:val="20"/>
                <w:highlight w:val="none"/>
              </w:rPr>
              <w:t>》第九十条</w:t>
            </w:r>
            <w:r>
              <w:rPr>
                <w:rFonts w:hint="eastAsia" w:ascii="仿宋_GB2312" w:hAnsi="仿宋_GB2312" w:eastAsia="仿宋_GB2312" w:cs="仿宋_GB2312"/>
                <w:color w:val="000000"/>
                <w:kern w:val="0"/>
                <w:sz w:val="20"/>
                <w:szCs w:val="20"/>
                <w:highlight w:val="none"/>
                <w:lang w:eastAsia="zh-CN"/>
              </w:rPr>
              <w:t>：</w:t>
            </w:r>
            <w:r>
              <w:rPr>
                <w:rFonts w:hint="eastAsia" w:ascii="仿宋_GB2312" w:hAnsi="仿宋_GB2312" w:eastAsia="仿宋_GB2312" w:cs="仿宋_GB2312"/>
                <w:color w:val="000000"/>
                <w:kern w:val="0"/>
                <w:sz w:val="20"/>
                <w:szCs w:val="20"/>
                <w:highlight w:val="none"/>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highlight w:val="none"/>
                <w:lang w:eastAsia="zh-CN"/>
              </w:rPr>
              <w:t>条：</w:t>
            </w:r>
            <w:r>
              <w:rPr>
                <w:rFonts w:hint="eastAsia" w:ascii="仿宋_GB2312" w:hAnsi="仿宋_GB2312" w:eastAsia="仿宋_GB2312" w:cs="仿宋_GB2312"/>
                <w:color w:val="000000"/>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p>
        </w:tc>
      </w:tr>
      <w:tr>
        <w:tblPrEx>
          <w:tblCellMar>
            <w:top w:w="28" w:type="dxa"/>
            <w:left w:w="28" w:type="dxa"/>
            <w:bottom w:w="28" w:type="dxa"/>
            <w:right w:w="28" w:type="dxa"/>
          </w:tblCellMar>
        </w:tblPrEx>
        <w:trPr>
          <w:trHeight w:val="6127" w:hRule="atLeast"/>
          <w:jc w:val="center"/>
        </w:trPr>
        <w:tc>
          <w:tcPr>
            <w:tcW w:w="5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center"/>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28</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行政检查</w:t>
            </w:r>
          </w:p>
        </w:tc>
        <w:tc>
          <w:tcPr>
            <w:tcW w:w="4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rPr>
              <w:t>对非煤矿山外包工程安全生产的监督检查</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226" w:lineRule="exact"/>
              <w:jc w:val="both"/>
              <w:textAlignment w:val="auto"/>
              <w:rPr>
                <w:rFonts w:hint="eastAsia" w:ascii="仿宋_GB2312" w:hAnsi="仿宋_GB2312" w:eastAsia="仿宋_GB2312" w:cs="仿宋_GB2312"/>
                <w:color w:val="auto"/>
                <w:kern w:val="0"/>
                <w:sz w:val="20"/>
                <w:szCs w:val="20"/>
                <w:highlight w:val="none"/>
                <w:lang w:val="en-US" w:eastAsia="zh-CN" w:bidi="ar-SA"/>
              </w:rPr>
            </w:pPr>
          </w:p>
        </w:tc>
        <w:tc>
          <w:tcPr>
            <w:tcW w:w="47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古宜镇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00" w:lineRule="exact"/>
              <w:rPr>
                <w:rFonts w:hint="eastAsia" w:ascii="仿宋_GB2312" w:hAnsi="仿宋_GB2312" w:eastAsia="仿宋_GB2312" w:cs="仿宋_GB2312"/>
                <w:snapToGrid w:val="0"/>
                <w:color w:val="auto"/>
                <w:sz w:val="20"/>
                <w:szCs w:val="20"/>
                <w:highlight w:val="none"/>
              </w:rPr>
            </w:pPr>
            <w:r>
              <w:rPr>
                <w:rFonts w:hint="eastAsia" w:ascii="仿宋_GB2312" w:hAnsi="仿宋_GB2312" w:eastAsia="仿宋_GB2312" w:cs="仿宋_GB2312"/>
                <w:snapToGrid w:val="0"/>
                <w:color w:val="auto"/>
                <w:sz w:val="20"/>
                <w:szCs w:val="20"/>
                <w:highlight w:val="none"/>
              </w:rPr>
              <w:t>社会治理和应急管理办公室</w:t>
            </w:r>
            <w:r>
              <w:rPr>
                <w:rFonts w:hint="eastAsia" w:ascii="仿宋_GB2312" w:hAnsi="仿宋_GB2312" w:eastAsia="仿宋_GB2312" w:cs="仿宋_GB2312"/>
                <w:color w:val="auto"/>
                <w:kern w:val="0"/>
                <w:sz w:val="20"/>
                <w:szCs w:val="20"/>
                <w:highlight w:val="none"/>
                <w:lang w:val="en-US" w:eastAsia="zh-CN" w:bidi="ar-SA"/>
              </w:rPr>
              <w:t>（综合行政执法办公室）</w:t>
            </w:r>
          </w:p>
        </w:tc>
        <w:tc>
          <w:tcPr>
            <w:tcW w:w="29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九条第二款：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部门规章】《非煤矿山外包工程安全管理暂行办法》（2013年国家安全监管总局令第62号公布，2015年国家安全监管总局令第78号修正）第二十九条：安全生产监督管理部门应当加强对外包工程的安全生产监督检查，重点检查下列事项：</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（一）发包单位非煤矿山安全生产许可证、安全生产管理协议、安全投入等情况；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（二）承包单位的施工资质、应当依法取得的非煤矿山安全生产许可证、安全投入落实、承包单位及其项目部的安全生产管理机构、技术力量配备、相关人员的安全资格和持证等情况；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（三）违法发包、转包、分项发包等行为。</w:t>
            </w:r>
          </w:p>
        </w:tc>
        <w:tc>
          <w:tcPr>
            <w:tcW w:w="27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1.告知责任：制定检查计划、方案，确定检查目标、对象、内容，公告或通知被检查单位（暗访不通知）。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2.检查责任：检查时，执法人员不得少于2人，并出示相关证件进行检查；检查不得影响被检查单位正常的生产经营活动。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3.处理责任：制作检查记录，对检查发现的问题提出整改和处理意见。</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4.监管责任：按照检查计划、方案，对生产经营单位提取、使用和管理安全费用情况进行监督检查。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5.其他法律法规规章文件规定应履行的责任。</w:t>
            </w:r>
          </w:p>
        </w:tc>
        <w:tc>
          <w:tcPr>
            <w:tcW w:w="3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 xml:space="preserve">1.【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二条：县级以上地方各级人民政府应当根据本行政区域内的安全生产状况，组织有关部门按照职责分工，对本行政区域内容易发生重大生产安全事故的生产经营单位进行严格检查。 </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-1.【法律】《中华人民共和国行政处罚法》第五十五条：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当事人或者有关人员应当如实回答询问，并协助调查或者检查，不得拒绝或者阻挠。询问或者检查应当制作笔录。</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五十六条：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第四十三条：执法人员与案件有直接利害关系或者有其他关系可能影响公正执法的，应当回避。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当事人认为执法人员与案件有直接利害关系或者有其他关系可能影响公正执法的，有权申请回避。</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当事人提出回避申请的，行政机关应当依法审查，由行政机关负责人决定。决定作出之前，不停止调查。</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2-2.【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五条：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（一）进入生产经营单位进行检查，调阅有关资料，向有关单位和人员了解情况；</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监督检查不得影响被检查单位的正常生产经营活动。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六十八条：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4.【法律】《中华人民共和国安全生产法》（2002年6月29日第九届全国人民代表大会常务委员会第二十八次会议通过，根据2021年6月10日第十三届全国人民代表大会常务委员会第二十九次会议《关于修改&lt;中华人民共和国安全生产法&gt;的决定》第三次修订）第十条：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kinsoku/>
              <w:wordWrap/>
              <w:overflowPunct/>
              <w:topLinePunct w:val="0"/>
              <w:autoSpaceDE/>
              <w:autoSpaceDN/>
              <w:bidi w:val="0"/>
              <w:spacing w:line="294"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bidi="ar-SA"/>
              </w:rPr>
            </w:pPr>
            <w:r>
              <w:rPr>
                <w:rFonts w:hint="eastAsia" w:ascii="仿宋_GB2312" w:hAnsi="仿宋_GB2312" w:eastAsia="仿宋_GB2312" w:cs="仿宋_GB2312"/>
                <w:color w:val="auto"/>
                <w:kern w:val="0"/>
                <w:sz w:val="20"/>
                <w:szCs w:val="20"/>
                <w:highlight w:val="none"/>
                <w:lang w:val="en-US" w:eastAsia="zh-CN"/>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tc>
        <w:tc>
          <w:tcPr>
            <w:tcW w:w="2969"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因不履行或不正确履行职责，有下列情形之一的，应承担相应的责任：</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1.在监督检查中发现重大事故隐患，不依法及时处理的（机关纪委）；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2.在监督检查中滥用职权、玩忽职守、徇私舞弊行为的（机关纪委）；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3.利用职务上的便利，索取或者收受他人财物、以权谋私的（机关纪委）；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4.违反规定程序实施监督检查的（机关纪委）；</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rPr>
              <w:t>5.其他违反法律法规规章文件规定的行为（机关纪委）。</w:t>
            </w:r>
          </w:p>
        </w:tc>
        <w:tc>
          <w:tcPr>
            <w:tcW w:w="4161"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1.【法律】《</w:t>
            </w:r>
            <w:r>
              <w:rPr>
                <w:rFonts w:hint="eastAsia" w:ascii="仿宋_GB2312" w:hAnsi="仿宋_GB2312" w:eastAsia="仿宋_GB2312" w:cs="仿宋_GB2312"/>
                <w:color w:val="000000"/>
                <w:kern w:val="0"/>
                <w:sz w:val="20"/>
                <w:szCs w:val="20"/>
                <w:highlight w:val="none"/>
                <w:lang w:eastAsia="zh-CN"/>
              </w:rPr>
              <w:t>中华人民共和国安全生产法</w:t>
            </w:r>
            <w:r>
              <w:rPr>
                <w:rFonts w:hint="eastAsia" w:ascii="仿宋_GB2312" w:hAnsi="仿宋_GB2312" w:eastAsia="仿宋_GB2312" w:cs="仿宋_GB2312"/>
                <w:color w:val="000000"/>
                <w:kern w:val="0"/>
                <w:sz w:val="20"/>
                <w:szCs w:val="20"/>
                <w:highlight w:val="none"/>
              </w:rPr>
              <w:t>》第九十条</w:t>
            </w:r>
            <w:r>
              <w:rPr>
                <w:rFonts w:hint="eastAsia" w:ascii="仿宋_GB2312" w:hAnsi="仿宋_GB2312" w:eastAsia="仿宋_GB2312" w:cs="仿宋_GB2312"/>
                <w:color w:val="000000"/>
                <w:kern w:val="0"/>
                <w:sz w:val="20"/>
                <w:szCs w:val="20"/>
                <w:highlight w:val="none"/>
                <w:lang w:eastAsia="zh-CN"/>
              </w:rPr>
              <w:t>：</w:t>
            </w:r>
            <w:r>
              <w:rPr>
                <w:rFonts w:hint="eastAsia" w:ascii="仿宋_GB2312" w:hAnsi="仿宋_GB2312" w:eastAsia="仿宋_GB2312" w:cs="仿宋_GB2312"/>
                <w:color w:val="000000"/>
                <w:kern w:val="0"/>
                <w:sz w:val="20"/>
                <w:szCs w:val="20"/>
                <w:highlight w:val="none"/>
              </w:rPr>
              <w:t xml:space="preserve">负有安全生产监督管理职责的部门的工作人员，有下列行为之一的，给予降级或者撤职的处分；构成犯罪的，依照刑法有关规定追究刑事责任：（一）对不符合法定安全生产条件的涉及安全生产的事项予以批准或者验收通过的；（二）发现未依法取得批准、验收的单位擅自从事有关活动或者接到举报后不予取缔或者不依法予以处理的；（三）对已经依法取得批准的单位不履行监督管理职责，发现其不再具备安全生产条件而不撤销原批准或者发现安全生产违法行为不予查处的；（四）在监督检查中发现重大事故隐患，不依法及时处理的。负有安全生产监督管理职责的部门的工作人员有前款规定以外的滥用职权、玩忽职守、徇私舞弊行为的，依法给予处分；构成犯罪的，依照刑法有关规定追究刑事责任。    </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2.同1。</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行政法规】《行政机关公务员处分条例》（2007年国务院令第495号公布，自2007年6月1日起施行）第二十三条:有贪污、索贿、受贿、行贿、介绍贿赂、挪用公款、利用职务之便为自己或者他人谋取私利、巨额财产来源不明等违反廉政纪律行为的，给予记过或者记大过处分；情节较重的，给予降级或者撤职处分；情节严重的，给予开除处分。</w:t>
            </w:r>
          </w:p>
          <w:p>
            <w:pPr>
              <w:widowControl/>
              <w:adjustRightInd w:val="0"/>
              <w:snapToGrid w:val="0"/>
              <w:spacing w:line="290" w:lineRule="exact"/>
              <w:ind w:firstLine="400" w:firstLineChars="200"/>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rPr>
              <w:t>4.【地方政府规章】《广西壮族自治区行政过错责任追究办法》（2007年广西壮族自治区人民政府令第24号公布,自2007年6月1日起施行）第八</w:t>
            </w:r>
            <w:r>
              <w:rPr>
                <w:rFonts w:hint="eastAsia" w:ascii="仿宋_GB2312" w:hAnsi="仿宋_GB2312" w:eastAsia="仿宋_GB2312" w:cs="仿宋_GB2312"/>
                <w:color w:val="000000"/>
                <w:kern w:val="0"/>
                <w:sz w:val="20"/>
                <w:szCs w:val="20"/>
                <w:highlight w:val="none"/>
                <w:lang w:eastAsia="zh-CN"/>
              </w:rPr>
              <w:t>条：</w:t>
            </w:r>
            <w:r>
              <w:rPr>
                <w:rFonts w:hint="eastAsia" w:ascii="仿宋_GB2312" w:hAnsi="仿宋_GB2312" w:eastAsia="仿宋_GB2312" w:cs="仿宋_GB2312"/>
                <w:color w:val="000000"/>
                <w:kern w:val="0"/>
                <w:sz w:val="20"/>
                <w:szCs w:val="20"/>
                <w:highlight w:val="none"/>
              </w:rPr>
              <w:t>实施行政行为，有下列情形之一的，应当追究行政过错责任人的责任：（一）依法应当回避不回避；（二）依法应当听证不组织听证；（三）不依法履行告知义务；（四）执行公务活动不出示有效证件；（五）其他违反法定程序的情形。</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290" w:lineRule="exact"/>
              <w:rPr>
                <w:rFonts w:hint="eastAsia" w:ascii="仿宋_GB2312" w:hAnsi="仿宋_GB2312" w:eastAsia="仿宋_GB2312" w:cs="仿宋_GB2312"/>
                <w:color w:val="000000"/>
                <w:kern w:val="0"/>
                <w:sz w:val="20"/>
                <w:szCs w:val="20"/>
                <w:highlight w:val="none"/>
                <w:lang w:val="en-US" w:eastAsia="zh-CN" w:bidi="ar-SA"/>
              </w:rPr>
            </w:pPr>
            <w:r>
              <w:rPr>
                <w:rFonts w:hint="eastAsia" w:ascii="仿宋_GB2312" w:hAnsi="仿宋_GB2312" w:eastAsia="仿宋_GB2312" w:cs="仿宋_GB2312"/>
                <w:color w:val="000000"/>
                <w:kern w:val="0"/>
                <w:sz w:val="20"/>
                <w:szCs w:val="20"/>
                <w:highlight w:val="none"/>
                <w:lang w:eastAsia="zh-CN"/>
              </w:rPr>
              <w:t>法律法规规章规定的免责情形以及市委、市人民政府有关文件中明确的免责情形。</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6120" w:hRule="atLeast"/>
          <w:jc w:val="center"/>
        </w:trPr>
        <w:tc>
          <w:tcPr>
            <w:tcW w:w="527" w:type="dxa"/>
            <w:noWrap w:val="0"/>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000000"/>
                <w:kern w:val="0"/>
                <w:sz w:val="20"/>
                <w:szCs w:val="20"/>
                <w:highlight w:val="none"/>
                <w:lang w:val="en-US" w:eastAsia="zh-CN"/>
              </w:rPr>
            </w:pPr>
            <w:r>
              <w:rPr>
                <w:rFonts w:hint="eastAsia" w:ascii="仿宋_GB2312" w:hAnsi="仿宋_GB2312" w:eastAsia="仿宋_GB2312" w:cs="仿宋_GB2312"/>
                <w:color w:val="000000"/>
                <w:kern w:val="0"/>
                <w:sz w:val="20"/>
                <w:szCs w:val="20"/>
                <w:highlight w:val="none"/>
                <w:lang w:val="en-US" w:eastAsia="zh-CN"/>
              </w:rPr>
              <w:t>29</w:t>
            </w:r>
          </w:p>
        </w:tc>
        <w:tc>
          <w:tcPr>
            <w:tcW w:w="457" w:type="dxa"/>
            <w:noWrap w:val="0"/>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行政确认</w:t>
            </w: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《独生子女父母光荣证》核发</w:t>
            </w:r>
          </w:p>
        </w:tc>
        <w:tc>
          <w:tcPr>
            <w:tcW w:w="60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highlight w:val="none"/>
              </w:rPr>
            </w:pPr>
          </w:p>
        </w:tc>
        <w:tc>
          <w:tcPr>
            <w:tcW w:w="47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古宜镇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公共事务服务中心</w:t>
            </w:r>
            <w:r>
              <w:rPr>
                <w:rFonts w:hint="eastAsia" w:ascii="仿宋_GB2312" w:hAnsi="仿宋_GB2312" w:eastAsia="仿宋_GB2312" w:cs="仿宋_GB2312"/>
                <w:color w:val="000000"/>
                <w:kern w:val="0"/>
                <w:sz w:val="20"/>
                <w:szCs w:val="20"/>
                <w:highlight w:val="none"/>
                <w:lang w:eastAsia="zh-CN"/>
              </w:rPr>
              <w:t>（社会保障和公共文化服务中心）</w:t>
            </w:r>
          </w:p>
        </w:tc>
        <w:tc>
          <w:tcPr>
            <w:tcW w:w="2939"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fldChar w:fldCharType="begin"/>
            </w:r>
            <w:r>
              <w:rPr>
                <w:rFonts w:hint="eastAsia" w:ascii="仿宋_GB2312" w:hAnsi="仿宋_GB2312" w:eastAsia="仿宋_GB2312" w:cs="仿宋_GB2312"/>
                <w:color w:val="000000"/>
                <w:kern w:val="0"/>
                <w:sz w:val="20"/>
                <w:szCs w:val="20"/>
                <w:highlight w:val="none"/>
              </w:rPr>
              <w:instrText xml:space="preserve"> HYPERLINK "javascript:SLC(18415926)" \o "" </w:instrText>
            </w:r>
            <w:r>
              <w:rPr>
                <w:rFonts w:hint="eastAsia" w:ascii="仿宋_GB2312" w:hAnsi="仿宋_GB2312" w:eastAsia="仿宋_GB2312" w:cs="仿宋_GB2312"/>
                <w:color w:val="000000"/>
                <w:kern w:val="0"/>
                <w:sz w:val="20"/>
                <w:szCs w:val="20"/>
                <w:highlight w:val="none"/>
              </w:rPr>
              <w:fldChar w:fldCharType="separate"/>
            </w:r>
            <w:r>
              <w:rPr>
                <w:rFonts w:hint="eastAsia" w:ascii="仿宋_GB2312" w:hAnsi="仿宋_GB2312" w:eastAsia="仿宋_GB2312" w:cs="仿宋_GB2312"/>
                <w:color w:val="000000"/>
                <w:kern w:val="0"/>
                <w:sz w:val="20"/>
                <w:szCs w:val="20"/>
                <w:highlight w:val="none"/>
              </w:rPr>
              <w:t>1.【法律】《中华人民共和国人口与计划生育法》第二十七条第一款</w:t>
            </w:r>
            <w:r>
              <w:rPr>
                <w:rFonts w:hint="eastAsia" w:ascii="仿宋_GB2312" w:hAnsi="仿宋_GB2312" w:eastAsia="仿宋_GB2312" w:cs="仿宋_GB2312"/>
                <w:color w:val="000000"/>
                <w:kern w:val="0"/>
                <w:sz w:val="20"/>
                <w:szCs w:val="20"/>
                <w:highlight w:val="none"/>
                <w:lang w:eastAsia="zh-CN"/>
              </w:rPr>
              <w:t>：</w:t>
            </w:r>
            <w:r>
              <w:rPr>
                <w:rFonts w:hint="eastAsia" w:ascii="仿宋_GB2312" w:hAnsi="仿宋_GB2312" w:eastAsia="仿宋_GB2312" w:cs="仿宋_GB2312"/>
                <w:color w:val="000000"/>
                <w:kern w:val="0"/>
                <w:sz w:val="20"/>
                <w:szCs w:val="20"/>
                <w:highlight w:val="none"/>
              </w:rPr>
              <w:t>在国家提倡一对夫妻生育一个子女期间，自愿终身只生育一个子女的夫妻，国家发给《独生子女父母光荣证》。</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2.【地方性法规】《广西壮族自治区人口和计划生育条例》（2012年广西壮族自治区第十一届人民代表大会常务委员会第二十七次会议通过，2020年广西壮族自治区第十三届人民代表大会常务委员会第十八次会议第四次修正）第二十八</w:t>
            </w:r>
            <w:r>
              <w:rPr>
                <w:rFonts w:hint="eastAsia" w:ascii="仿宋_GB2312" w:hAnsi="仿宋_GB2312" w:eastAsia="仿宋_GB2312" w:cs="仿宋_GB2312"/>
                <w:color w:val="000000"/>
                <w:kern w:val="0"/>
                <w:sz w:val="20"/>
                <w:szCs w:val="20"/>
                <w:highlight w:val="none"/>
                <w:lang w:eastAsia="zh-CN"/>
              </w:rPr>
              <w:t>条：</w:t>
            </w:r>
            <w:r>
              <w:rPr>
                <w:rFonts w:hint="eastAsia" w:ascii="仿宋_GB2312" w:hAnsi="仿宋_GB2312" w:eastAsia="仿宋_GB2312" w:cs="仿宋_GB2312"/>
                <w:color w:val="000000"/>
                <w:kern w:val="0"/>
                <w:sz w:val="20"/>
                <w:szCs w:val="20"/>
                <w:highlight w:val="none"/>
              </w:rPr>
              <w:t>在国家提倡一对夫妻生育一个子女期间，自愿终身只生育一个子女的，经本人申请，由乡镇人民政府、街道办事处批准后，发给《独生子女父母光荣证》，并按有关规定发给独生子女保健费至子女年满十八周岁。</w:t>
            </w:r>
            <w:r>
              <w:rPr>
                <w:rFonts w:hint="eastAsia" w:ascii="仿宋_GB2312" w:hAnsi="仿宋_GB2312" w:eastAsia="仿宋_GB2312" w:cs="仿宋_GB2312"/>
                <w:color w:val="000000"/>
                <w:kern w:val="0"/>
                <w:sz w:val="20"/>
                <w:szCs w:val="20"/>
                <w:highlight w:val="none"/>
              </w:rPr>
              <w:fldChar w:fldCharType="end"/>
            </w:r>
          </w:p>
        </w:tc>
        <w:tc>
          <w:tcPr>
            <w:tcW w:w="2730"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1.受理责任：负责对鉴定对象进行病史及必要的社会调查，收集整理有关重要资料。（不予受理应当告知理由）。</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2.审查责任：负责对要求鉴定的对象进行检查与诊断。</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3.决定责任：作出行政确认或者不予行政确认决定，法定告知（不予确认的应当书面告知理由）。</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4.告知环节责任：负责开具鉴定结论，并由县级卫生计生行政部门领回交给申请人。</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5.事后监管环节责任：建立健全监督制度，分管领导对审批后的相关事宜实施监督管理。</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6.其他法律法规规章文件规定应履行的责任。</w:t>
            </w:r>
          </w:p>
        </w:tc>
        <w:tc>
          <w:tcPr>
            <w:tcW w:w="381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1.【地方政府规章】</w:t>
            </w:r>
            <w:r>
              <w:rPr>
                <w:rFonts w:hint="eastAsia" w:ascii="仿宋_GB2312" w:hAnsi="仿宋_GB2312" w:eastAsia="仿宋_GB2312" w:cs="仿宋_GB2312"/>
                <w:color w:val="000000"/>
                <w:kern w:val="0"/>
                <w:sz w:val="20"/>
                <w:szCs w:val="20"/>
                <w:highlight w:val="none"/>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highlight w:val="none"/>
              </w:rPr>
              <w:t>第二十二</w:t>
            </w:r>
            <w:r>
              <w:rPr>
                <w:rFonts w:hint="eastAsia" w:ascii="仿宋_GB2312" w:hAnsi="仿宋_GB2312" w:eastAsia="仿宋_GB2312" w:cs="仿宋_GB2312"/>
                <w:color w:val="000000"/>
                <w:kern w:val="0"/>
                <w:sz w:val="20"/>
                <w:szCs w:val="20"/>
                <w:highlight w:val="none"/>
                <w:lang w:eastAsia="zh-CN"/>
              </w:rPr>
              <w:t>条：</w:t>
            </w:r>
            <w:r>
              <w:rPr>
                <w:rFonts w:hint="eastAsia" w:ascii="仿宋_GB2312" w:hAnsi="仿宋_GB2312" w:eastAsia="仿宋_GB2312" w:cs="仿宋_GB2312"/>
                <w:color w:val="000000"/>
                <w:kern w:val="0"/>
                <w:sz w:val="20"/>
                <w:szCs w:val="20"/>
                <w:highlight w:val="none"/>
              </w:rPr>
              <w:t>行政执法机关应将办理各种申请的条件、程序、期限和范围及其他相关情况向社会公开，并应建立受理申请登记制度。</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2.【地方政府规章】</w:t>
            </w:r>
            <w:r>
              <w:rPr>
                <w:rFonts w:hint="eastAsia" w:ascii="仿宋_GB2312" w:hAnsi="仿宋_GB2312" w:eastAsia="仿宋_GB2312" w:cs="仿宋_GB2312"/>
                <w:color w:val="000000"/>
                <w:kern w:val="0"/>
                <w:sz w:val="20"/>
                <w:szCs w:val="20"/>
                <w:highlight w:val="none"/>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highlight w:val="none"/>
              </w:rPr>
              <w:t>第二十五</w:t>
            </w:r>
            <w:r>
              <w:rPr>
                <w:rFonts w:hint="eastAsia" w:ascii="仿宋_GB2312" w:hAnsi="仿宋_GB2312" w:eastAsia="仿宋_GB2312" w:cs="仿宋_GB2312"/>
                <w:color w:val="000000"/>
                <w:kern w:val="0"/>
                <w:sz w:val="20"/>
                <w:szCs w:val="20"/>
                <w:highlight w:val="none"/>
                <w:lang w:eastAsia="zh-CN"/>
              </w:rPr>
              <w:t>条：</w:t>
            </w:r>
            <w:r>
              <w:rPr>
                <w:rFonts w:hint="eastAsia" w:ascii="仿宋_GB2312" w:hAnsi="仿宋_GB2312" w:eastAsia="仿宋_GB2312" w:cs="仿宋_GB2312"/>
                <w:color w:val="000000"/>
                <w:kern w:val="0"/>
                <w:sz w:val="20"/>
                <w:szCs w:val="20"/>
                <w:highlight w:val="none"/>
              </w:rPr>
              <w:t>行政执法机关决定受理相对人的申请后，应对相对人的申请事由以及申请材料的真实性、合法性、有效性进行审查</w:t>
            </w:r>
            <w:r>
              <w:rPr>
                <w:rFonts w:hint="eastAsia" w:ascii="仿宋_GB2312" w:hAnsi="仿宋_GB2312" w:eastAsia="仿宋_GB2312" w:cs="仿宋_GB2312"/>
                <w:color w:val="000000"/>
                <w:kern w:val="0"/>
                <w:sz w:val="20"/>
                <w:szCs w:val="20"/>
                <w:highlight w:val="none"/>
                <w:lang w:eastAsia="zh-CN"/>
              </w:rPr>
              <w:t>。</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3.【地方政府规章】</w:t>
            </w:r>
            <w:r>
              <w:rPr>
                <w:rFonts w:hint="eastAsia" w:ascii="仿宋_GB2312" w:hAnsi="仿宋_GB2312" w:eastAsia="仿宋_GB2312" w:cs="仿宋_GB2312"/>
                <w:color w:val="000000"/>
                <w:kern w:val="0"/>
                <w:sz w:val="20"/>
                <w:szCs w:val="20"/>
                <w:highlight w:val="none"/>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highlight w:val="none"/>
              </w:rPr>
              <w:t>第三十三</w:t>
            </w:r>
            <w:r>
              <w:rPr>
                <w:rFonts w:hint="eastAsia" w:ascii="仿宋_GB2312" w:hAnsi="仿宋_GB2312" w:eastAsia="仿宋_GB2312" w:cs="仿宋_GB2312"/>
                <w:color w:val="000000"/>
                <w:kern w:val="0"/>
                <w:sz w:val="20"/>
                <w:szCs w:val="20"/>
                <w:highlight w:val="none"/>
                <w:lang w:eastAsia="zh-CN"/>
              </w:rPr>
              <w:t>条：</w:t>
            </w:r>
            <w:r>
              <w:rPr>
                <w:rFonts w:hint="eastAsia" w:ascii="仿宋_GB2312" w:hAnsi="仿宋_GB2312" w:eastAsia="仿宋_GB2312" w:cs="仿宋_GB2312"/>
                <w:color w:val="000000"/>
                <w:kern w:val="0"/>
                <w:sz w:val="20"/>
                <w:szCs w:val="20"/>
                <w:highlight w:val="none"/>
              </w:rPr>
              <w:t>调查终结，办案人员应向所在行政执法机关提出调查报告和处理意见，并送本机关法制工作机构或本机关指定的其他机构进行审核；审核机构应在七日内审核完毕，连同审核意见一并报送本机关负责人进行审查</w:t>
            </w:r>
            <w:r>
              <w:rPr>
                <w:rFonts w:hint="eastAsia" w:ascii="仿宋_GB2312" w:hAnsi="仿宋_GB2312" w:eastAsia="仿宋_GB2312" w:cs="仿宋_GB2312"/>
                <w:color w:val="000000"/>
                <w:kern w:val="0"/>
                <w:sz w:val="20"/>
                <w:szCs w:val="20"/>
                <w:highlight w:val="none"/>
                <w:lang w:eastAsia="zh-CN"/>
              </w:rPr>
              <w:t>。</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lang w:eastAsia="zh-CN"/>
              </w:rPr>
            </w:pPr>
            <w:r>
              <w:rPr>
                <w:rFonts w:hint="eastAsia" w:ascii="仿宋_GB2312" w:hAnsi="仿宋_GB2312" w:eastAsia="仿宋_GB2312" w:cs="仿宋_GB2312"/>
                <w:color w:val="000000"/>
                <w:kern w:val="0"/>
                <w:sz w:val="20"/>
                <w:szCs w:val="20"/>
                <w:highlight w:val="none"/>
              </w:rPr>
              <w:t>4.【地方政府规章】</w:t>
            </w:r>
            <w:r>
              <w:rPr>
                <w:rFonts w:hint="eastAsia" w:ascii="仿宋_GB2312" w:hAnsi="仿宋_GB2312" w:eastAsia="仿宋_GB2312" w:cs="仿宋_GB2312"/>
                <w:color w:val="000000"/>
                <w:kern w:val="0"/>
                <w:sz w:val="20"/>
                <w:szCs w:val="20"/>
                <w:highlight w:val="none"/>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highlight w:val="none"/>
              </w:rPr>
              <w:t>第五十七</w:t>
            </w:r>
            <w:r>
              <w:rPr>
                <w:rFonts w:hint="eastAsia" w:ascii="仿宋_GB2312" w:hAnsi="仿宋_GB2312" w:eastAsia="仿宋_GB2312" w:cs="仿宋_GB2312"/>
                <w:color w:val="000000"/>
                <w:kern w:val="0"/>
                <w:sz w:val="20"/>
                <w:szCs w:val="20"/>
                <w:highlight w:val="none"/>
                <w:lang w:eastAsia="zh-CN"/>
              </w:rPr>
              <w:t>条：</w:t>
            </w:r>
            <w:r>
              <w:rPr>
                <w:rFonts w:hint="eastAsia" w:ascii="仿宋_GB2312" w:hAnsi="仿宋_GB2312" w:eastAsia="仿宋_GB2312" w:cs="仿宋_GB2312"/>
                <w:color w:val="000000"/>
                <w:kern w:val="0"/>
                <w:sz w:val="20"/>
                <w:szCs w:val="20"/>
                <w:highlight w:val="none"/>
              </w:rPr>
              <w:t>行政处理决定书和其他法律文书不能直接送交相对人或者直接送交有困难的，行政执法机关应在作出决定后七日内按下列规定送达：（二）相对人已向行政执法机关指定代收人的，由指定代收人签收，签收日期为送达日期</w:t>
            </w:r>
            <w:r>
              <w:rPr>
                <w:rFonts w:hint="eastAsia" w:ascii="仿宋_GB2312" w:hAnsi="仿宋_GB2312" w:eastAsia="仿宋_GB2312" w:cs="仿宋_GB2312"/>
                <w:color w:val="000000"/>
                <w:kern w:val="0"/>
                <w:sz w:val="20"/>
                <w:szCs w:val="20"/>
                <w:highlight w:val="none"/>
                <w:lang w:eastAsia="zh-CN"/>
              </w:rPr>
              <w:t>。</w:t>
            </w:r>
          </w:p>
          <w:p>
            <w:pPr>
              <w:widowControl/>
              <w:adjustRightInd w:val="0"/>
              <w:snapToGrid w:val="0"/>
              <w:spacing w:line="300" w:lineRule="exact"/>
              <w:ind w:firstLine="400" w:firstLineChars="200"/>
              <w:rPr>
                <w:rFonts w:hint="eastAsia" w:ascii="仿宋_GB2312" w:hAnsi="仿宋_GB2312" w:eastAsia="仿宋_GB2312" w:cs="仿宋_GB2312"/>
                <w:color w:val="000000"/>
                <w:kern w:val="0"/>
                <w:sz w:val="20"/>
                <w:szCs w:val="20"/>
                <w:highlight w:val="none"/>
              </w:rPr>
            </w:pPr>
            <w:r>
              <w:rPr>
                <w:rFonts w:hint="eastAsia" w:ascii="仿宋_GB2312" w:hAnsi="仿宋_GB2312" w:eastAsia="仿宋_GB2312" w:cs="仿宋_GB2312"/>
                <w:color w:val="000000"/>
                <w:kern w:val="0"/>
                <w:sz w:val="20"/>
                <w:szCs w:val="20"/>
                <w:highlight w:val="none"/>
              </w:rPr>
              <w:t>5.【地方政府规章】</w:t>
            </w:r>
            <w:r>
              <w:rPr>
                <w:rFonts w:hint="eastAsia" w:ascii="仿宋_GB2312" w:hAnsi="仿宋_GB2312" w:eastAsia="仿宋_GB2312" w:cs="仿宋_GB2312"/>
                <w:color w:val="000000"/>
                <w:kern w:val="0"/>
                <w:sz w:val="20"/>
                <w:szCs w:val="20"/>
                <w:highlight w:val="none"/>
                <w:lang w:eastAsia="zh-CN"/>
              </w:rPr>
              <w:t>《广西壮族自治区行政执法程序规定》（1997年广西壮族自治区人民政府令第13号）</w:t>
            </w:r>
            <w:r>
              <w:rPr>
                <w:rFonts w:hint="eastAsia" w:ascii="仿宋_GB2312" w:hAnsi="仿宋_GB2312" w:eastAsia="仿宋_GB2312" w:cs="仿宋_GB2312"/>
                <w:color w:val="000000"/>
                <w:kern w:val="0"/>
                <w:sz w:val="20"/>
                <w:szCs w:val="20"/>
                <w:highlight w:val="none"/>
              </w:rPr>
              <w:t>第六十八</w:t>
            </w:r>
            <w:r>
              <w:rPr>
                <w:rFonts w:hint="eastAsia" w:ascii="仿宋_GB2312" w:hAnsi="仿宋_GB2312" w:eastAsia="仿宋_GB2312" w:cs="仿宋_GB2312"/>
                <w:color w:val="000000"/>
                <w:kern w:val="0"/>
                <w:sz w:val="20"/>
                <w:szCs w:val="20"/>
                <w:highlight w:val="none"/>
                <w:lang w:eastAsia="zh-CN"/>
              </w:rPr>
              <w:t>条：</w:t>
            </w:r>
            <w:r>
              <w:rPr>
                <w:rFonts w:hint="eastAsia" w:ascii="仿宋_GB2312" w:hAnsi="仿宋_GB2312" w:eastAsia="仿宋_GB2312" w:cs="仿宋_GB2312"/>
                <w:color w:val="000000"/>
                <w:kern w:val="0"/>
                <w:sz w:val="20"/>
                <w:szCs w:val="20"/>
                <w:highlight w:val="none"/>
              </w:rPr>
              <w:t>行政执法机关应根据法律、法规和规章的规定，建立健全相应的执法工作规则，保证具体执法行为合法、高效、有序。</w:t>
            </w:r>
          </w:p>
        </w:tc>
        <w:tc>
          <w:tcPr>
            <w:tcW w:w="2969" w:type="dxa"/>
            <w:noWrap w:val="0"/>
            <w:tcMar>
              <w:top w:w="28" w:type="dxa"/>
              <w:left w:w="28" w:type="dxa"/>
              <w:bottom w:w="28" w:type="dxa"/>
              <w:right w:w="2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1.对符合受理条件未予受理的（工委办）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2.未严格按照相关政策、法律、法规履行审查义务，对应当予以认定的不予认定或不予认定的给予认定的（工委办）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3.因审查不严，从而影响鉴定工作的公正性的（工委办）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4.在鉴定过程中发生违纪、腐败行为的（工委办）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5.其他违反法律法规规章文件规定的行为。（工委办）</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p>
        </w:tc>
        <w:tc>
          <w:tcPr>
            <w:tcW w:w="4161" w:type="dxa"/>
            <w:noWrap w:val="0"/>
            <w:tcMar>
              <w:top w:w="28" w:type="dxa"/>
              <w:left w:w="28" w:type="dxa"/>
              <w:bottom w:w="28" w:type="dxa"/>
              <w:right w:w="2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1.【地方政府规章】《广西壮族自治区行政过错责任追究办法》（2007年广西壮族自治区人民政府令第24号公布） 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2.同1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3.同1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4.同1</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p>
        </w:tc>
        <w:tc>
          <w:tcPr>
            <w:tcW w:w="1170"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法律法规规章规定的免责情形以及《自治区党委办公厅关于印发〈深入推进激励干部新时代新担当新作为工作实施方案〉等6个文件的通知》中明确的免责情形。</w:t>
            </w:r>
          </w:p>
        </w:tc>
        <w:tc>
          <w:tcPr>
            <w:tcW w:w="737"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000000"/>
                <w:kern w:val="0"/>
                <w:sz w:val="20"/>
                <w:szCs w:val="20"/>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0653" w:hRule="atLeast"/>
          <w:jc w:val="center"/>
        </w:trPr>
        <w:tc>
          <w:tcPr>
            <w:tcW w:w="527" w:type="dxa"/>
            <w:noWrap w:val="0"/>
            <w:tcMar>
              <w:top w:w="28" w:type="dxa"/>
              <w:left w:w="28" w:type="dxa"/>
              <w:bottom w:w="28" w:type="dxa"/>
              <w:right w:w="28" w:type="dxa"/>
            </w:tcMar>
            <w:vAlign w:val="center"/>
          </w:tcPr>
          <w:p>
            <w:pPr>
              <w:widowControl/>
              <w:adjustRightInd w:val="0"/>
              <w:snapToGrid w:val="0"/>
              <w:spacing w:line="294" w:lineRule="exact"/>
              <w:jc w:val="center"/>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30</w:t>
            </w:r>
          </w:p>
        </w:tc>
        <w:tc>
          <w:tcPr>
            <w:tcW w:w="457" w:type="dxa"/>
            <w:noWrap w:val="0"/>
            <w:tcMar>
              <w:top w:w="28" w:type="dxa"/>
              <w:left w:w="28" w:type="dxa"/>
              <w:bottom w:w="28" w:type="dxa"/>
              <w:right w:w="28" w:type="dxa"/>
            </w:tcMar>
            <w:vAlign w:val="center"/>
          </w:tcPr>
          <w:p>
            <w:pPr>
              <w:widowControl/>
              <w:adjustRightInd w:val="0"/>
              <w:snapToGrid w:val="0"/>
              <w:spacing w:line="294"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行政确认</w:t>
            </w:r>
          </w:p>
        </w:tc>
        <w:tc>
          <w:tcPr>
            <w:tcW w:w="480" w:type="dxa"/>
            <w:noWrap w:val="0"/>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生育登记</w:t>
            </w:r>
          </w:p>
        </w:tc>
        <w:tc>
          <w:tcPr>
            <w:tcW w:w="600" w:type="dxa"/>
            <w:noWrap w:val="0"/>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highlight w:val="none"/>
              </w:rPr>
            </w:pPr>
          </w:p>
        </w:tc>
        <w:tc>
          <w:tcPr>
            <w:tcW w:w="47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古宜镇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公共事务服务中心</w:t>
            </w:r>
            <w:r>
              <w:rPr>
                <w:rFonts w:hint="eastAsia" w:ascii="仿宋_GB2312" w:hAnsi="仿宋_GB2312" w:eastAsia="仿宋_GB2312" w:cs="仿宋_GB2312"/>
                <w:color w:val="000000"/>
                <w:kern w:val="0"/>
                <w:sz w:val="20"/>
                <w:szCs w:val="20"/>
                <w:highlight w:val="none"/>
                <w:lang w:eastAsia="zh-CN"/>
              </w:rPr>
              <w:t>（社会保障和公共文化服务中心）</w:t>
            </w:r>
          </w:p>
        </w:tc>
        <w:tc>
          <w:tcPr>
            <w:tcW w:w="2939" w:type="dxa"/>
            <w:noWrap w:val="0"/>
            <w:tcMar>
              <w:top w:w="28" w:type="dxa"/>
              <w:left w:w="28" w:type="dxa"/>
              <w:bottom w:w="28" w:type="dxa"/>
              <w:right w:w="28" w:type="dxa"/>
            </w:tcMar>
            <w:vAlign w:val="center"/>
          </w:tcPr>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【地方性法规】《广西壮族自治区人口和计划生育条例》（</w:t>
            </w:r>
            <w:r>
              <w:rPr>
                <w:rFonts w:hint="eastAsia" w:ascii="仿宋_GB2312" w:hAnsi="仿宋_GB2312" w:eastAsia="仿宋_GB2312" w:cs="仿宋_GB2312"/>
                <w:color w:val="auto"/>
                <w:kern w:val="0"/>
                <w:sz w:val="20"/>
                <w:szCs w:val="20"/>
                <w:highlight w:val="none"/>
                <w:lang w:val="en-US" w:eastAsia="zh-CN"/>
              </w:rPr>
              <w:t>2022年3月24日修订通过，颁布施行</w:t>
            </w:r>
            <w:r>
              <w:rPr>
                <w:rFonts w:hint="eastAsia" w:ascii="仿宋_GB2312" w:hAnsi="仿宋_GB2312" w:eastAsia="仿宋_GB2312" w:cs="仿宋_GB2312"/>
                <w:color w:val="auto"/>
                <w:kern w:val="0"/>
                <w:sz w:val="20"/>
                <w:szCs w:val="20"/>
                <w:highlight w:val="none"/>
              </w:rPr>
              <w:t>）第十六条</w:t>
            </w:r>
            <w:r>
              <w:rPr>
                <w:rFonts w:hint="eastAsia" w:ascii="仿宋_GB2312" w:hAnsi="仿宋_GB2312" w:eastAsia="仿宋_GB2312" w:cs="仿宋_GB2312"/>
                <w:color w:val="auto"/>
                <w:kern w:val="0"/>
                <w:sz w:val="20"/>
                <w:szCs w:val="20"/>
                <w:highlight w:val="none"/>
                <w:lang w:val="en-US" w:eastAsia="zh-CN"/>
              </w:rPr>
              <w:t xml:space="preserve"> </w:t>
            </w:r>
            <w:r>
              <w:rPr>
                <w:rFonts w:hint="eastAsia" w:ascii="仿宋_GB2312" w:hAnsi="仿宋_GB2312" w:eastAsia="仿宋_GB2312" w:cs="仿宋_GB2312"/>
                <w:color w:val="auto"/>
                <w:kern w:val="0"/>
                <w:sz w:val="20"/>
                <w:szCs w:val="20"/>
                <w:highlight w:val="none"/>
              </w:rPr>
              <w:t>实行生育登记制度。生育子女的夫妻可以通过生育登记平台进行网上登记，也可以到一方户籍所在地或者现居住地乡镇人民政府、街道办事处及其委托的村民委员会、居民委员会进行登记。</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highlight w:val="none"/>
              </w:rPr>
            </w:pPr>
          </w:p>
        </w:tc>
        <w:tc>
          <w:tcPr>
            <w:tcW w:w="2730" w:type="dxa"/>
            <w:noWrap w:val="0"/>
            <w:tcMar>
              <w:top w:w="28" w:type="dxa"/>
              <w:left w:w="28" w:type="dxa"/>
              <w:bottom w:w="28" w:type="dxa"/>
              <w:right w:w="28" w:type="dxa"/>
            </w:tcMar>
            <w:vAlign w:val="center"/>
          </w:tcPr>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1.受理阶段责任：公示依法应当提交的材料和受理条件；一次性告知补正材料；依法受理或不予受理（不予受理应当告知理由）。</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2.审查阶段责任：审核材料真实性和合法性；现场审核；论证申请人是否符合相关法律法规标准的要求。</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3.决定阶段责任：作出行政许可或不予行政许可的决定（不予许可的应书面说明理由，并告知当事人享有依法申请行政复议或提起行政诉讼的权利）。</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4.送达阶段责任：对许可的制发送达并信息公开，对不予许可的制发送达《不予许可决定书》；按时办结；法定告知。</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5.事后监管责任：定期或不定期检查已发单位是否有违反《放射诊疗管理规定》的行为，对违法行为依法查处，并给予有关责任人相关处分。</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6.其他法律法规规章文件规定应履行的责任。</w:t>
            </w:r>
          </w:p>
        </w:tc>
        <w:tc>
          <w:tcPr>
            <w:tcW w:w="3811" w:type="dxa"/>
            <w:noWrap w:val="0"/>
            <w:tcMar>
              <w:top w:w="28" w:type="dxa"/>
              <w:left w:w="28" w:type="dxa"/>
              <w:bottom w:w="28" w:type="dxa"/>
              <w:right w:w="28" w:type="dxa"/>
            </w:tcMar>
            <w:vAlign w:val="center"/>
          </w:tcPr>
          <w:p>
            <w:pPr>
              <w:keepNext w:val="0"/>
              <w:keepLines w:val="0"/>
              <w:pageBreakBefore w:val="0"/>
              <w:widowControl/>
              <w:kinsoku/>
              <w:wordWrap/>
              <w:overflowPunct/>
              <w:topLinePunct w:val="0"/>
              <w:autoSpaceDE/>
              <w:autoSpaceDN/>
              <w:bidi w:val="0"/>
              <w:adjustRightInd w:val="0"/>
              <w:snapToGrid w:val="0"/>
              <w:spacing w:line="270" w:lineRule="exact"/>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1</w:t>
            </w:r>
            <w:r>
              <w:rPr>
                <w:rFonts w:hint="eastAsia" w:ascii="仿宋_GB2312" w:hAnsi="仿宋_GB2312" w:eastAsia="仿宋_GB2312" w:cs="仿宋_GB2312"/>
                <w:color w:val="auto"/>
                <w:kern w:val="0"/>
                <w:sz w:val="20"/>
                <w:szCs w:val="20"/>
                <w:highlight w:val="none"/>
                <w:lang w:eastAsia="zh-CN"/>
              </w:rPr>
              <w:t>—1.</w:t>
            </w:r>
            <w:r>
              <w:rPr>
                <w:rFonts w:hint="eastAsia" w:ascii="仿宋_GB2312" w:hAnsi="仿宋_GB2312" w:eastAsia="仿宋_GB2312" w:cs="仿宋_GB2312"/>
                <w:color w:val="auto"/>
                <w:kern w:val="0"/>
                <w:sz w:val="20"/>
                <w:szCs w:val="20"/>
                <w:highlight w:val="none"/>
              </w:rPr>
              <w:t>【法律】《中华人民共和国行政许可法》第三十</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应当将法律、法规、规章规定的有关行政许可的事项、依据、条件、数量、程序、期限以及需要提交的全部材料的目录和申请书示范文本等在办公场所公示。申请人要求行政机关对公示内容予以说明、解释的，行政机</w:t>
            </w:r>
            <w:r>
              <w:rPr>
                <w:rFonts w:hint="eastAsia" w:ascii="仿宋_GB2312" w:hAnsi="仿宋_GB2312" w:eastAsia="仿宋_GB2312" w:cs="仿宋_GB2312"/>
                <w:color w:val="auto"/>
                <w:kern w:val="0"/>
                <w:sz w:val="20"/>
                <w:szCs w:val="20"/>
                <w:highlight w:val="none"/>
                <w:lang w:eastAsia="zh-CN"/>
              </w:rPr>
              <w:t>关应当说明、解释，提供准确、可靠的信息。</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highlight w:val="none"/>
                <w:lang w:eastAsia="zh-CN"/>
              </w:rPr>
            </w:pPr>
            <w:r>
              <w:rPr>
                <w:rFonts w:hint="eastAsia" w:ascii="仿宋_GB2312" w:hAnsi="仿宋_GB2312" w:eastAsia="仿宋_GB2312" w:cs="仿宋_GB2312"/>
                <w:color w:val="auto"/>
                <w:kern w:val="0"/>
                <w:sz w:val="20"/>
                <w:szCs w:val="20"/>
                <w:highlight w:val="none"/>
              </w:rPr>
              <w:t>1</w:t>
            </w:r>
            <w:r>
              <w:rPr>
                <w:rFonts w:hint="eastAsia" w:ascii="仿宋_GB2312" w:hAnsi="仿宋_GB2312" w:eastAsia="仿宋_GB2312" w:cs="仿宋_GB2312"/>
                <w:color w:val="auto"/>
                <w:kern w:val="0"/>
                <w:sz w:val="20"/>
                <w:szCs w:val="20"/>
                <w:highlight w:val="none"/>
                <w:lang w:eastAsia="zh-CN"/>
              </w:rPr>
              <w:t>—2.</w:t>
            </w:r>
            <w:r>
              <w:rPr>
                <w:rFonts w:hint="eastAsia" w:ascii="仿宋_GB2312" w:hAnsi="仿宋_GB2312" w:eastAsia="仿宋_GB2312" w:cs="仿宋_GB2312"/>
                <w:color w:val="auto"/>
                <w:kern w:val="0"/>
                <w:sz w:val="20"/>
                <w:szCs w:val="20"/>
                <w:highlight w:val="none"/>
              </w:rPr>
              <w:t>【法律】《中华人民共和国行政许可法》第三十二</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行政机关对申请人提出的行政许可申请，应当根据下列情况分别作出处理： （一）申请事项依法不需要取得行政许可的，应当即时告知申请人不受理；（二）申请事项依法不属于本行政机关职权范围的，应当即时作出不予受理的决定，并告知申请人向有关行政机关申请；（三）申请材料存在可以当场更正的错误的，应当允许申请人当场更正；（四）申请材料不齐全或者不符合法定形式的，应当当场或者在五日内一次告知申请人需要补正的全部内容，逾期不告知的，自收到申请材料之日起即为受理；（五）申请事项属于本行政机关职权范围，申请材料齐全、符合法定形式，或者申请人按照本行政机关的要求提交全部补正申请材料的，应当受理行政许可申请。行政机关受理或者不予受理行政许可申请，应当出具加盖本行政机关专</w:t>
            </w:r>
            <w:r>
              <w:rPr>
                <w:rFonts w:hint="eastAsia" w:ascii="仿宋_GB2312" w:hAnsi="仿宋_GB2312" w:eastAsia="仿宋_GB2312" w:cs="仿宋_GB2312"/>
                <w:color w:val="auto"/>
                <w:kern w:val="0"/>
                <w:sz w:val="20"/>
                <w:szCs w:val="20"/>
                <w:highlight w:val="none"/>
                <w:lang w:eastAsia="zh-CN"/>
              </w:rPr>
              <w:t>用印章和注明日期的书面凭证。</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lang w:val="en-US" w:eastAsia="zh-CN"/>
              </w:rPr>
              <w:t>2.</w:t>
            </w:r>
            <w:r>
              <w:rPr>
                <w:rFonts w:hint="eastAsia" w:ascii="仿宋_GB2312" w:hAnsi="仿宋_GB2312" w:eastAsia="仿宋_GB2312" w:cs="仿宋_GB2312"/>
                <w:color w:val="auto"/>
                <w:kern w:val="0"/>
                <w:sz w:val="20"/>
                <w:szCs w:val="20"/>
                <w:highlight w:val="none"/>
              </w:rPr>
              <w:t>【法律】《中华人民共和国行政许可法》第三十四</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第三十七</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行政机关对行政许可申请进行审查后，除当场作出行政许可决定的外，应当在法定期限内按照规定程序作出行政许可决定。</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rPr>
              <w:t>3.</w:t>
            </w:r>
            <w:r>
              <w:rPr>
                <w:rFonts w:hint="eastAsia" w:ascii="仿宋_GB2312" w:hAnsi="仿宋_GB2312" w:eastAsia="仿宋_GB2312" w:cs="仿宋_GB2312"/>
                <w:color w:val="auto"/>
                <w:kern w:val="0"/>
                <w:sz w:val="20"/>
                <w:szCs w:val="20"/>
                <w:highlight w:val="none"/>
                <w:lang w:eastAsia="zh-CN"/>
              </w:rPr>
              <w:t>同</w:t>
            </w:r>
            <w:r>
              <w:rPr>
                <w:rFonts w:hint="eastAsia" w:ascii="仿宋_GB2312" w:hAnsi="仿宋_GB2312" w:eastAsia="仿宋_GB2312" w:cs="仿宋_GB2312"/>
                <w:color w:val="auto"/>
                <w:kern w:val="0"/>
                <w:sz w:val="20"/>
                <w:szCs w:val="20"/>
                <w:highlight w:val="none"/>
                <w:lang w:val="en-US" w:eastAsia="zh-CN"/>
              </w:rPr>
              <w:t>2</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4</w:t>
            </w:r>
            <w:r>
              <w:rPr>
                <w:rFonts w:hint="eastAsia" w:ascii="仿宋_GB2312" w:hAnsi="仿宋_GB2312" w:eastAsia="仿宋_GB2312" w:cs="仿宋_GB2312"/>
                <w:color w:val="auto"/>
                <w:kern w:val="0"/>
                <w:sz w:val="20"/>
                <w:szCs w:val="20"/>
                <w:highlight w:val="none"/>
                <w:lang w:eastAsia="zh-CN"/>
              </w:rPr>
              <w:t>—1.</w:t>
            </w:r>
            <w:r>
              <w:rPr>
                <w:rFonts w:hint="eastAsia" w:ascii="仿宋_GB2312" w:hAnsi="仿宋_GB2312" w:eastAsia="仿宋_GB2312" w:cs="仿宋_GB2312"/>
                <w:color w:val="auto"/>
                <w:kern w:val="0"/>
                <w:sz w:val="20"/>
                <w:szCs w:val="20"/>
                <w:highlight w:val="none"/>
              </w:rPr>
              <w:t>【法律】《中华人民共和国行政许可法》第四十四</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行政机关作出准予行政许可的决定，应当自作出决定之日起十日内向申请人颁发、送达行政许可证件，或者加贴标签、加盖检验、检测、检疫印章。</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4</w:t>
            </w:r>
            <w:r>
              <w:rPr>
                <w:rFonts w:hint="eastAsia" w:ascii="仿宋_GB2312" w:hAnsi="仿宋_GB2312" w:eastAsia="仿宋_GB2312" w:cs="仿宋_GB2312"/>
                <w:color w:val="auto"/>
                <w:kern w:val="0"/>
                <w:sz w:val="20"/>
                <w:szCs w:val="20"/>
                <w:highlight w:val="none"/>
                <w:lang w:eastAsia="zh-CN"/>
              </w:rPr>
              <w:t>—2.</w:t>
            </w:r>
            <w:r>
              <w:rPr>
                <w:rFonts w:hint="eastAsia" w:ascii="仿宋_GB2312" w:hAnsi="仿宋_GB2312" w:eastAsia="仿宋_GB2312" w:cs="仿宋_GB2312"/>
                <w:color w:val="auto"/>
                <w:kern w:val="0"/>
                <w:sz w:val="20"/>
                <w:szCs w:val="20"/>
                <w:highlight w:val="none"/>
              </w:rPr>
              <w:t>【法律】《中华人民共和国行政许可法》第四十</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行政机关作出的准予行政许可决定，应当予以公开，公众有权查阅。</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第四十三</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依法应当先经下级行政机关审查后报上级行政机关决定的行政许可，下级行政机关应当自其受理行政许可申请之日起二十日内审查完毕。但是，法律、法规另有规定的，依照其规定。</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5.【法律】《中华人民共和国行政许可法》第六十一</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应当建立健全监督制度，通过核查反映被许可人从事行政许可事项活动情况的有关材料，履行监督责任。行政机关依法对被许可人从事行政许可事项的活动进行监督检查时，应当将监督检查的情况和处理结果予以记录，由监督检查人员签字后归档。公众有权查阅行政机关监督检查记录。</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第六十二</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可以对被许可人生产经营的产品依法进行抽样检查、检验、检测，对其生产经营场所依法进行实地检查。检查时，行政机关可以依法查阅或者要求被许可人报送有关材料；被许可人应当如实提供有关情况和材料。</w:t>
            </w:r>
          </w:p>
          <w:p>
            <w:pPr>
              <w:keepNext w:val="0"/>
              <w:keepLines w:val="0"/>
              <w:pageBreakBefore w:val="0"/>
              <w:widowControl/>
              <w:kinsoku/>
              <w:wordWrap/>
              <w:overflowPunct/>
              <w:topLinePunct w:val="0"/>
              <w:autoSpaceDE/>
              <w:autoSpaceDN/>
              <w:bidi w:val="0"/>
              <w:adjustRightInd w:val="0"/>
              <w:snapToGrid w:val="0"/>
              <w:spacing w:line="270" w:lineRule="exact"/>
              <w:ind w:firstLine="400" w:firstLineChars="200"/>
              <w:textAlignment w:val="auto"/>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第六十三</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行政机关实施监督检查，不得妨碍被许可人正常的生产经营活动，不得索取或者收受被许可人的财物，不得谋取其他利益。</w:t>
            </w:r>
          </w:p>
        </w:tc>
        <w:tc>
          <w:tcPr>
            <w:tcW w:w="2969" w:type="dxa"/>
            <w:noWrap w:val="0"/>
            <w:tcMar>
              <w:top w:w="28" w:type="dxa"/>
              <w:left w:w="28" w:type="dxa"/>
              <w:bottom w:w="28" w:type="dxa"/>
              <w:right w:w="2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因不履行或不正确履行行政职责，有下列情形的行政机关及相关工作人员应承担相应的责任：</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1.对符合受理条件未予受理的（工委办）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2.未严格按照相关政策、法律、法规履行审查义务，对应当予以认定的不予认定或不予认定的给予认定的（工委办）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3.因审查不严，从而影响鉴定工作的公正性的（工委办）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4.在鉴定过程中发生违纪、腐败行为的（工委办）</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5.其他违反法律法规规章文件规定的行为。（工委办）</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highlight w:val="none"/>
              </w:rPr>
            </w:pPr>
          </w:p>
        </w:tc>
        <w:tc>
          <w:tcPr>
            <w:tcW w:w="4161" w:type="dxa"/>
            <w:noWrap w:val="0"/>
            <w:tcMar>
              <w:top w:w="28" w:type="dxa"/>
              <w:left w:w="28" w:type="dxa"/>
              <w:bottom w:w="28" w:type="dxa"/>
              <w:right w:w="28" w:type="dxa"/>
            </w:tcMar>
            <w:vAlign w:val="center"/>
          </w:tcPr>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1.【地方政府规章】《广西壮族自治区行政过错责任追究办法》（2007年广西壮族自治区人民政府令第24号公布） 第九条：行政机关及其工作人员在行政审批过程中，有下列情形之一的，应当责令纠正并追究行政过错责任：（一）不按规定实施统一受理、联合受理、集中受理行政审批；（二）谋取不当利益，或者故意刁难、推诿、拖延，影响行政审批；（三）未按规定开具受理回执或者遗失申请人申报资料；（四）不依照法定程序实施行政审批；（五）未在法定期限内办结行政审批事项；（六）擅自收费或者不按照法定项目和标准收费，指定购买商品或者要求提供、接受服务，指定参加培训、学术研讨、技术考核、评比；（七）截留、挪用、私分或者变相私分实施行政审批依法收取的费用；（八）依法应当根据招标、拍卖结果或者考试成绩择优作出准予行政审批决定，未经招标、拍卖或者考试，或者不根据招标、拍卖结果及考试成绩择优作出准予行政审批决定；（九）违法委托中介机构、下属事业单位或者其他组织代行行政审批权；（十）违法准许中介机构或者其他组织从事行政审批代理活动；（十一）受理的行政审批事项涉及其他部门，不依法移交或者互相推诿、拖延不办；（十二）违反规定撤销、注销、变更原有行政审批事项；（十三）其他违反行政审批规定的情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2.同1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3.同1</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5" w:lineRule="atLeast"/>
              <w:ind w:left="0" w:right="0" w:firstLine="0"/>
              <w:rPr>
                <w:rFonts w:hint="eastAsia" w:ascii="仿宋_GB2312" w:hAnsi="仿宋_GB2312" w:eastAsia="仿宋_GB2312" w:cs="仿宋_GB2312"/>
                <w:i w:val="0"/>
                <w:iCs w:val="0"/>
                <w:caps w:val="0"/>
                <w:color w:val="auto"/>
                <w:spacing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4.同1</w:t>
            </w:r>
          </w:p>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highlight w:val="none"/>
              </w:rPr>
            </w:pPr>
          </w:p>
        </w:tc>
        <w:tc>
          <w:tcPr>
            <w:tcW w:w="1170" w:type="dxa"/>
            <w:noWrap w:val="0"/>
            <w:tcMar>
              <w:top w:w="28" w:type="dxa"/>
              <w:left w:w="28" w:type="dxa"/>
              <w:bottom w:w="28" w:type="dxa"/>
              <w:right w:w="28" w:type="dxa"/>
            </w:tcMar>
            <w:vAlign w:val="center"/>
          </w:tcPr>
          <w:p>
            <w:pPr>
              <w:widowControl/>
              <w:adjustRightInd w:val="0"/>
              <w:snapToGrid w:val="0"/>
              <w:spacing w:line="294"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i w:val="0"/>
                <w:iCs w:val="0"/>
                <w:caps w:val="0"/>
                <w:color w:val="auto"/>
                <w:spacing w:val="0"/>
                <w:sz w:val="20"/>
                <w:szCs w:val="20"/>
                <w:highlight w:val="none"/>
                <w:shd w:val="clear" w:fill="FFFFFF"/>
              </w:rPr>
              <w:t>法律法规规章规定的免责情形以及《自治区党委办公厅关于印发〈深入推进激励干部新时代新担当新作为工作实施方案〉等6个文件的通知》中明确的免责情形。</w:t>
            </w:r>
          </w:p>
        </w:tc>
        <w:tc>
          <w:tcPr>
            <w:tcW w:w="737" w:type="dxa"/>
            <w:noWrap w:val="0"/>
            <w:tcMar>
              <w:top w:w="28" w:type="dxa"/>
              <w:left w:w="28" w:type="dxa"/>
              <w:bottom w:w="28" w:type="dxa"/>
              <w:right w:w="28" w:type="dxa"/>
            </w:tcMar>
            <w:vAlign w:val="center"/>
          </w:tcPr>
          <w:p>
            <w:pPr>
              <w:widowControl/>
              <w:adjustRightInd w:val="0"/>
              <w:snapToGrid w:val="0"/>
              <w:spacing w:line="294" w:lineRule="exact"/>
              <w:rPr>
                <w:rFonts w:hint="eastAsia" w:ascii="仿宋_GB2312" w:hAnsi="仿宋_GB2312" w:eastAsia="仿宋_GB2312" w:cs="仿宋_GB2312"/>
                <w:color w:val="auto"/>
                <w:kern w:val="0"/>
                <w:sz w:val="20"/>
                <w:szCs w:val="20"/>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8791" w:hRule="atLeast"/>
          <w:jc w:val="center"/>
        </w:trPr>
        <w:tc>
          <w:tcPr>
            <w:tcW w:w="52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highlight w:val="none"/>
                <w:lang w:val="en-US"/>
              </w:rPr>
            </w:pPr>
            <w:r>
              <w:rPr>
                <w:rFonts w:hint="eastAsia" w:ascii="仿宋_GB2312" w:hAnsi="仿宋_GB2312" w:eastAsia="仿宋_GB2312" w:cs="仿宋_GB2312"/>
                <w:kern w:val="0"/>
                <w:sz w:val="20"/>
                <w:szCs w:val="20"/>
                <w:highlight w:val="none"/>
                <w:lang w:val="en-US" w:eastAsia="zh-CN"/>
              </w:rPr>
              <w:t>31</w:t>
            </w:r>
          </w:p>
        </w:tc>
        <w:tc>
          <w:tcPr>
            <w:tcW w:w="45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其他行政权力</w:t>
            </w:r>
          </w:p>
        </w:tc>
        <w:tc>
          <w:tcPr>
            <w:tcW w:w="480"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经济              普查</w:t>
            </w:r>
          </w:p>
        </w:tc>
        <w:tc>
          <w:tcPr>
            <w:tcW w:w="60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highlight w:val="none"/>
              </w:rPr>
            </w:pPr>
          </w:p>
        </w:tc>
        <w:tc>
          <w:tcPr>
            <w:tcW w:w="47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古宜镇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社会经济发展办公室</w:t>
            </w:r>
            <w:r>
              <w:rPr>
                <w:rFonts w:hint="eastAsia" w:ascii="仿宋_GB2312" w:hAnsi="仿宋_GB2312" w:eastAsia="仿宋_GB2312" w:cs="仿宋_GB2312"/>
                <w:kern w:val="0"/>
                <w:sz w:val="20"/>
                <w:szCs w:val="20"/>
                <w:highlight w:val="none"/>
                <w:lang w:eastAsia="zh-CN"/>
              </w:rPr>
              <w:t>（统计工作办公室）</w:t>
            </w:r>
          </w:p>
        </w:tc>
        <w:tc>
          <w:tcPr>
            <w:tcW w:w="293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行政法规】《全国经济普查条例》（2004年国务院令第415号发布，2018年国务院令第702号修订）第十六条：地方各级人民政府设立经济普查领导小组及其办公室，按照国务院经济普查领导小组及其办公室的统一规定和要求，具体组织实施当地的经济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街道办事处和居（村）民委员会应当广泛动员和组织社会力量积极参与并认真做好经济普查工作。</w:t>
            </w:r>
          </w:p>
        </w:tc>
        <w:tc>
          <w:tcPr>
            <w:tcW w:w="2730"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1.启动阶段责任：广泛动员和组织社会力量积极参与经济普查工作。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2.汇总上报阶段责任：按规定对调查的数据材料统计汇总，如实上报。</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3.事后监管责任：防止对原始数据弄虚作假，加强日常管理。</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4.其他法律法规规章文件规定应履行的责任。</w:t>
            </w:r>
          </w:p>
        </w:tc>
        <w:tc>
          <w:tcPr>
            <w:tcW w:w="381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1.【行政法规】《全国经济普查条例》（2018年8月11日国务院令第702号公布  根据2018年8月11日《国务院关于修改〈全国经济普查条例〉的决定》修订 自公布之日起施行）第十六条：地方各级人民政府设立经济普查领导小组及其办公室，按照国务院经济普查领导小组及其办公室的统一规定和要求，具体组织实施当地的经济普查工作。街道办事处和居（村）民委员会应当广泛动员和组织社会力量积极参与并认真做好经济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2.【行政法规】《全国经济普查条例》（2018年8月11日国务院令第702号公布  根据2018年8月11日《国务院关于修改〈全国经济普查条例〉的决定》修订 自公布之日起施行）第二十五条：各级经济普查机构和经济普查人员依法独立行使调查、报告、监督的职权，任何单位和个人不得干涉。各地方、各部门、各单位的领导人对经济普查机构和经济普查人员依法提供的经济普查资料不得自行修改，不得强令或者授意经济普查机构、经济普查人员篡改经济普查资料或者编造虚假数据。</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3.【行政法规】《全国经济普查条例》（2018年8月11日国务院令第702号公布  根据2018年8月11日《国务院关于修改〈全国经济普查条例〉的决定》修订）第二十七条：经济普查数据处理结束后，各级经济普查机构应当做好数据备份和数据入库工作，建立健全基本单位名录库及其数据库系统，并强化日常管理和维护更新。</w:t>
            </w:r>
          </w:p>
        </w:tc>
        <w:tc>
          <w:tcPr>
            <w:tcW w:w="2969" w:type="dxa"/>
            <w:noWrap w:val="0"/>
            <w:tcMar>
              <w:top w:w="28" w:type="dxa"/>
              <w:left w:w="28" w:type="dxa"/>
              <w:bottom w:w="28" w:type="dxa"/>
              <w:right w:w="28" w:type="dxa"/>
            </w:tcMar>
            <w:vAlign w:val="center"/>
          </w:tcPr>
          <w:p>
            <w:pPr>
              <w:widowControl/>
              <w:adjustRightInd w:val="0"/>
              <w:snapToGrid w:val="0"/>
              <w:spacing w:line="24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因不履行或不正确履行行政职责，有下列情形的，行政机关及相关工作人员应承担相应责任：</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1.对调查中发现的问题，不及时处理，造成不良后果的；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2.瞒报、伪造、篡改调查资料或者编造虚假调查数据的；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3.泄露调查数据造成不良后果的；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4.在调查中玩忽职守、滥用职权的；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5.在调查中发生腐败行为的；</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rPr>
              <w:t>6.其他违反法律法规规章文件规定的行为。</w:t>
            </w:r>
          </w:p>
        </w:tc>
        <w:tc>
          <w:tcPr>
            <w:tcW w:w="4161" w:type="dxa"/>
            <w:noWrap w:val="0"/>
            <w:tcMar>
              <w:top w:w="28" w:type="dxa"/>
              <w:left w:w="28" w:type="dxa"/>
              <w:bottom w:w="28" w:type="dxa"/>
              <w:right w:w="28" w:type="dxa"/>
            </w:tcMar>
            <w:vAlign w:val="center"/>
          </w:tcPr>
          <w:p>
            <w:pPr>
              <w:widowControl/>
              <w:adjustRightInd w:val="0"/>
              <w:snapToGrid w:val="0"/>
              <w:spacing w:line="24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【法规】《全国经济普查条例》（2018年8月11日国务院令第702号公布  根据2018年8月11日《国务院关于修改〈全国经济普查条例〉的决定》修订 自公布之日起施行）第三十五条 地方、部门、单位的领导人自行修改经济普查资料、编造虚假数据或者强令、授意经济普查机构、经济普查人员篡改经济普查资料或者编造虚假数据的，依法给予处分,并由县级以上人民政府统计机构予以通报。</w:t>
            </w:r>
          </w:p>
          <w:p>
            <w:pPr>
              <w:widowControl/>
              <w:adjustRightInd w:val="0"/>
              <w:snapToGrid w:val="0"/>
              <w:spacing w:line="240" w:lineRule="exact"/>
              <w:ind w:firstLine="400" w:firstLineChars="200"/>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rPr>
              <w:t>经济普查人员参与篡改经济普查资料、编造虚假数据的，由县级以上人民政府统计机构责令改正，依法给予处分，或者建议有关部门、单位依法给予处分。</w:t>
            </w:r>
          </w:p>
        </w:tc>
        <w:tc>
          <w:tcPr>
            <w:tcW w:w="117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pacing w:val="-2"/>
                <w:kern w:val="0"/>
                <w:sz w:val="20"/>
                <w:szCs w:val="20"/>
                <w:highlight w:val="none"/>
              </w:rPr>
              <w:t>法律法规规定的免责情形</w:t>
            </w:r>
            <w:r>
              <w:rPr>
                <w:rFonts w:hint="eastAsia" w:ascii="仿宋_GB2312" w:hAnsi="仿宋_GB2312" w:eastAsia="仿宋_GB2312" w:cs="仿宋_GB2312"/>
                <w:spacing w:val="-2"/>
                <w:kern w:val="0"/>
                <w:sz w:val="20"/>
                <w:szCs w:val="20"/>
                <w:highlight w:val="none"/>
                <w:lang w:eastAsia="zh-CN"/>
              </w:rPr>
              <w:t>及县委、县人民政府</w:t>
            </w:r>
            <w:r>
              <w:rPr>
                <w:rFonts w:hint="eastAsia" w:ascii="仿宋_GB2312" w:hAnsi="仿宋_GB2312" w:eastAsia="仿宋_GB2312" w:cs="仿宋_GB2312"/>
                <w:spacing w:val="-2"/>
                <w:kern w:val="0"/>
                <w:sz w:val="20"/>
                <w:szCs w:val="20"/>
                <w:highlight w:val="none"/>
              </w:rPr>
              <w:t>有关文件中明确的免责情形</w:t>
            </w:r>
          </w:p>
        </w:tc>
        <w:tc>
          <w:tcPr>
            <w:tcW w:w="737"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lang w:val="en-US" w:eastAsia="zh-CN"/>
              </w:rPr>
            </w:pPr>
            <w:r>
              <w:rPr>
                <w:rFonts w:hint="eastAsia" w:ascii="仿宋_GB2312" w:hAnsi="仿宋_GB2312" w:eastAsia="仿宋_GB2312" w:cs="仿宋_GB2312"/>
                <w:kern w:val="0"/>
                <w:sz w:val="20"/>
                <w:szCs w:val="20"/>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90" w:hRule="atLeast"/>
          <w:jc w:val="center"/>
        </w:trPr>
        <w:tc>
          <w:tcPr>
            <w:tcW w:w="52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highlight w:val="none"/>
                <w:lang w:eastAsia="zh-CN"/>
              </w:rPr>
            </w:pPr>
            <w:r>
              <w:rPr>
                <w:rFonts w:hint="eastAsia" w:ascii="仿宋_GB2312" w:hAnsi="仿宋_GB2312" w:eastAsia="仿宋_GB2312" w:cs="仿宋_GB2312"/>
                <w:kern w:val="0"/>
                <w:sz w:val="20"/>
                <w:szCs w:val="20"/>
                <w:highlight w:val="none"/>
                <w:lang w:val="en-US" w:eastAsia="zh-CN"/>
              </w:rPr>
              <w:t>32</w:t>
            </w:r>
          </w:p>
        </w:tc>
        <w:tc>
          <w:tcPr>
            <w:tcW w:w="45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其他行政权力</w:t>
            </w:r>
          </w:p>
        </w:tc>
        <w:tc>
          <w:tcPr>
            <w:tcW w:w="480"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农业                普查</w:t>
            </w:r>
          </w:p>
        </w:tc>
        <w:tc>
          <w:tcPr>
            <w:tcW w:w="60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highlight w:val="none"/>
              </w:rPr>
            </w:pPr>
          </w:p>
        </w:tc>
        <w:tc>
          <w:tcPr>
            <w:tcW w:w="47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古宜镇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社会经济发展办公室</w:t>
            </w:r>
            <w:r>
              <w:rPr>
                <w:rFonts w:hint="eastAsia" w:ascii="仿宋_GB2312" w:hAnsi="仿宋_GB2312" w:eastAsia="仿宋_GB2312" w:cs="仿宋_GB2312"/>
                <w:kern w:val="0"/>
                <w:sz w:val="20"/>
                <w:szCs w:val="20"/>
                <w:highlight w:val="none"/>
                <w:lang w:eastAsia="zh-CN"/>
              </w:rPr>
              <w:t>（统计工作办公室）</w:t>
            </w:r>
          </w:p>
        </w:tc>
        <w:tc>
          <w:tcPr>
            <w:tcW w:w="293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行政法规】《全国农业普查条例》（2006年国务院令第473号）第十七条：地方各级人民政府设立农业普查领导小组及其办公室，按照国务院农业普查领导小组及其办公室的统一规定和要求，负责本行政区域内农业普查的组织实施工作。国家统计局派出的调查队作为农业普查领导小组及其办公室的成员单位，参与农业普查的组织实施工作。</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村民委员会应当在乡镇人民政府的指导下做好本区域内的农业普查工作。</w:t>
            </w:r>
          </w:p>
        </w:tc>
        <w:tc>
          <w:tcPr>
            <w:tcW w:w="2730"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1.启动阶段责任：广泛动员和组织社会力量积极参与农业普查工作。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2.汇总上报阶段责任：按规定对调查的数据材料统计汇总，如实上报。</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3.事后监管责任：防止对原始数据弄虚作假，加强日常管理。</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4.其他法律法规规章文件规定应履行的责任。</w:t>
            </w:r>
          </w:p>
        </w:tc>
        <w:tc>
          <w:tcPr>
            <w:tcW w:w="381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1.【行政法规】《全国农业普查条例》（2006年8月23日中华人民共和国国务院令 第473号发布）第十七条：地方各级人民政府设立农业普查领导小组及其办公室，按照国务院农业普查领导小组及其办公室的统一规定和要求，负责本行政区域内农业普查的组织实施工作。国家统计局派出的调查队作为农业普查领导小组及其办公室的成员单位，参与农业普查的组织实施工作。</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村民委员会应当在乡镇人民政府的指导下做好本区域内的农业普查工作。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2.【行政法规】《全国农业普查条例》（2006年8月23日中华人民共和国国务院令 第473号发布）第五条：各级农业普查领导小组办公室（以下简称普查办公室）和普查办公室工作人员、普查指导员、普查员（以下统称普查人员）依法独立行使调查、报告、监督的职权，任何单位和个人不得干涉。各地方、各部门、各单位的领导人对普查办公室和普查人员依法提供的农业普查资料不得自行修改，不得强令、授意普查办公室、普查人员和普查对象篡改农业普查资料或者编造虚假数据，不得对拒绝、抵制篡改农业普查资料或者拒绝、抵制编造虚假数据的人员打击报复。</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3.【行政法规】《全国农业普查条例》（2006年8月23日中华人民共和国国务院令 第473号发布）第二十六条：农业普查数据处理方案和实施办法，由国务院农业普查领导小组办公室制订。 地方普查办公室应当按照数据处理方案和实施办法的规定进行数据处理，并按时上报普查数据。</w:t>
            </w:r>
          </w:p>
        </w:tc>
        <w:tc>
          <w:tcPr>
            <w:tcW w:w="296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因不履行或不正确履行行政职责，有下列情形的，行政机关及相关工作人员应承担相应责任：</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1.对调查中发现的问题，不及时处理，造成不良后果的；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2.瞒报、伪造、篡改调查资料或者编造虚假调查数据的；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3.泄露调查数据造成不良后果的；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4.在调查中玩忽职守、滥用职权的；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5.在调查中发生腐败行为的；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rPr>
              <w:t>6.其他违反法律法规规章文件规定的行为。</w:t>
            </w:r>
          </w:p>
        </w:tc>
        <w:tc>
          <w:tcPr>
            <w:tcW w:w="416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 xml:space="preserve">【法规】《全国农业普查条例》（2006年8月23日中华人民共和国国务院令 第473号发布）第三十七条 地方、部门、单位的领导人自行修改农业普查资料，强令、授意普查办公室、普查人员和普查对象篡改农业普查资料或者编造虚假数据，对拒绝、抵制篡改农业普查资料或者拒绝、抵制编造虚假数据的人员打击报复的，依法给予行政处分或者纪律处分，并由县级以上人民政府统计机构或者国家统计局派出的调查队给予通报批评；构成犯罪的，依法追究刑事责任。 </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rPr>
              <w:t>第三十八条 普查人员不执行普查方案，伪造、篡改普查资料，强令、授意普查对象提供虚假普查资料的，由县级以上人民政府统计机构或者国家统计局派出的调查队责令改正，依法给予行政处分或者纪律处分，并可以给予通报批评。</w:t>
            </w:r>
          </w:p>
        </w:tc>
        <w:tc>
          <w:tcPr>
            <w:tcW w:w="117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pacing w:val="-2"/>
                <w:kern w:val="0"/>
                <w:sz w:val="20"/>
                <w:szCs w:val="20"/>
                <w:highlight w:val="none"/>
              </w:rPr>
              <w:t>法律法规规定的免责情形</w:t>
            </w:r>
            <w:r>
              <w:rPr>
                <w:rFonts w:hint="eastAsia" w:ascii="仿宋_GB2312" w:hAnsi="仿宋_GB2312" w:eastAsia="仿宋_GB2312" w:cs="仿宋_GB2312"/>
                <w:spacing w:val="-2"/>
                <w:kern w:val="0"/>
                <w:sz w:val="20"/>
                <w:szCs w:val="20"/>
                <w:highlight w:val="none"/>
                <w:lang w:eastAsia="zh-CN"/>
              </w:rPr>
              <w:t>及县委、县人民政府</w:t>
            </w:r>
            <w:r>
              <w:rPr>
                <w:rFonts w:hint="eastAsia" w:ascii="仿宋_GB2312" w:hAnsi="仿宋_GB2312" w:eastAsia="仿宋_GB2312" w:cs="仿宋_GB2312"/>
                <w:spacing w:val="-2"/>
                <w:kern w:val="0"/>
                <w:sz w:val="20"/>
                <w:szCs w:val="20"/>
                <w:highlight w:val="none"/>
              </w:rPr>
              <w:t>有关文件中明确的免责情形</w:t>
            </w:r>
          </w:p>
        </w:tc>
        <w:tc>
          <w:tcPr>
            <w:tcW w:w="737"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5266" w:hRule="atLeast"/>
          <w:jc w:val="center"/>
        </w:trPr>
        <w:tc>
          <w:tcPr>
            <w:tcW w:w="52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highlight w:val="none"/>
                <w:lang w:val="en-US" w:eastAsia="zh-CN"/>
              </w:rPr>
            </w:pPr>
            <w:r>
              <w:rPr>
                <w:rFonts w:hint="eastAsia" w:ascii="仿宋_GB2312" w:hAnsi="仿宋_GB2312" w:eastAsia="仿宋_GB2312" w:cs="仿宋_GB2312"/>
                <w:kern w:val="0"/>
                <w:sz w:val="20"/>
                <w:szCs w:val="20"/>
                <w:highlight w:val="none"/>
                <w:lang w:val="en-US" w:eastAsia="zh-CN"/>
              </w:rPr>
              <w:t>33</w:t>
            </w:r>
          </w:p>
        </w:tc>
        <w:tc>
          <w:tcPr>
            <w:tcW w:w="45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其他行政权力</w:t>
            </w:r>
          </w:p>
        </w:tc>
        <w:tc>
          <w:tcPr>
            <w:tcW w:w="480"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人口             普查</w:t>
            </w:r>
          </w:p>
        </w:tc>
        <w:tc>
          <w:tcPr>
            <w:tcW w:w="60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highlight w:val="none"/>
              </w:rPr>
            </w:pPr>
          </w:p>
        </w:tc>
        <w:tc>
          <w:tcPr>
            <w:tcW w:w="47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古宜镇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社会经济发展办公室</w:t>
            </w:r>
            <w:r>
              <w:rPr>
                <w:rFonts w:hint="eastAsia" w:ascii="仿宋_GB2312" w:hAnsi="仿宋_GB2312" w:eastAsia="仿宋_GB2312" w:cs="仿宋_GB2312"/>
                <w:kern w:val="0"/>
                <w:sz w:val="20"/>
                <w:szCs w:val="20"/>
                <w:highlight w:val="none"/>
                <w:lang w:eastAsia="zh-CN"/>
              </w:rPr>
              <w:t>（统计工作办公室）</w:t>
            </w:r>
          </w:p>
        </w:tc>
        <w:tc>
          <w:tcPr>
            <w:tcW w:w="293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【行政法规】《全国人口普查条例》（2010年国务院令第576号）第三条：人口普查工作按照全国统一领导、部门分工协作、地方分级负责、各方共同参与的原则组织实施。</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国务院统一领导全国人口普查工作，研究决定人口普查中的重大问题。地方各级人民政府按照国务院的统一规定和要求，领导本行政区域的人口普查工作。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在人口普查工作期间，各级人民政府设立由统计机构和有关部门组成的人口普查机构（以下简称普查机构），负责人口普查的组织实施工作。</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村民委员会、居民委员会应当协助所在地人民政府动员和组织社会力量，做好本区域的人口普查工作。</w:t>
            </w:r>
          </w:p>
        </w:tc>
        <w:tc>
          <w:tcPr>
            <w:tcW w:w="2730"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1.启动阶段责任：广泛动员和组织社会力量积极参与人口普查工作。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2.汇总上报阶段责任：按规定对调查的数据材料统计汇总，如实上报。</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3.事后监管责任：防止对原始数据弄虚作假，加强日常管理。</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4.其他法律法规规章文件规定应履行的责任。</w:t>
            </w:r>
          </w:p>
        </w:tc>
        <w:tc>
          <w:tcPr>
            <w:tcW w:w="381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1.【行政法规】《全国人口普查条例》（2010年5月12日中华人民共和国国务院令 第576号发布）第三条：人口普查工作按照全国统一领导、部门分工协作、地方分级负责、各方共同参与的原则组织实施。国务院统一领导全国人口普查工作，研究决定人口普查中的重大问题。地方各级人民政府按照国务院的统一规定和要求，领导本行政区域的人口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村民委员会、居民委员会应当协助所在地人民政府动员和组织社会力量，做好本区域的人口普查工作。</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2.【行政法规】《全国人口普查条例》（2010年5月12日中华人民共和国国务院令 第576号发布）第五条：普查机构和普查机构工作人员、普查指导员、普查员（以下统称普查人员）依法独立行使调查、报告、监督的职权，任何单位和个人不得干涉。地方各级人民政府、各部门、各单位及其负责人，不得自行修改普查机构和普查人员依法搜集、整理的人口普查资料，不得以任何方式要求普查机构和普查人员及其他单位和个人伪造、篡改人口普查资料，不得对依法履行职责或者拒绝、抵制人口普查违法行为的普查人员打击报复。</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3.【行政法规】《全国人口普查条例》（2010年5月12日中华人民共和国国务院令 第576号发布）第二十九条：地方各级普查机构应当按照普查方案的规定进行数据处理，并按时上报人口普查资料。</w:t>
            </w:r>
          </w:p>
        </w:tc>
        <w:tc>
          <w:tcPr>
            <w:tcW w:w="296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因不履行或不正确履行行政职责，有下列情形的，行政机关及相关工作人员应承担相应责任：</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1.对调查中发现的问题，不及时处理，造成不良后果的；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2.瞒报、伪造、篡改调查资料或者编造虚假调查数据的；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3.泄露调查数据造成不良后果的；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4.在调查中玩忽职守、滥用职权的；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5.在调查中发生腐败行为的；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rPr>
              <w:t>6.其他违反法律法规规章文件规定的行为。</w:t>
            </w:r>
          </w:p>
        </w:tc>
        <w:tc>
          <w:tcPr>
            <w:tcW w:w="416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【法规】《全国人口普查条例》（2010年5月12日中华人民共和国国务院令 第576号发布）第三十四条 地方人民政府、政府统计机构或者有关部门、单位的负责人有下列行为之一的，由任免机关或者监察机关依法给予处分，并由县级以上人民政府统计机构予以通报；构成犯罪的，依法追究刑事责任：</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（一）自行修改人口普查资料、编造虚假人口普查数据的；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（二）要求有关单位和个人伪造、篡改人口普查资料的；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（三）不按照国家有关规定保存、销毁人口普查资料的；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（四）违法公布人口普查资料的；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（五）对依法履行职责或者拒绝、抵制人口普查违法行为的普查人员打击报复的；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（六）对本地方、本部门、本单位发生的严重人口普查违法行为失察的。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 xml:space="preserve"> 第三十五条 普查机构在组织实施人口普查活动中有下列违法行为之一的，由本级人民政府或者上级人民政府统计机构责令改正，予以通报；对直接负责的主管人员和其他直接责任人员，由任免机关或者监察机关依法给予处分：</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（一）不执行普查方案的；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（二）伪造、篡改人口普查资料的；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（三）要求人口普查对象提供不真实的人口普查资料的；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（四）未按照普查方案的规定报送人口普查资料的；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（五）违反国家有关规定，造成人口普查资料毁损、灭失的；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（六）泄露或者向他人提供能够识别或者推断单个普查对象身份的资料的。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rPr>
              <w:t>普查人员有前款所列行为之一的，责令其停止执行人口普查任务，予以通报，依法给予处分。</w:t>
            </w:r>
          </w:p>
        </w:tc>
        <w:tc>
          <w:tcPr>
            <w:tcW w:w="117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pacing w:val="-2"/>
                <w:kern w:val="0"/>
                <w:sz w:val="20"/>
                <w:szCs w:val="20"/>
                <w:highlight w:val="none"/>
              </w:rPr>
              <w:t>律法规规定的免责情形</w:t>
            </w:r>
            <w:r>
              <w:rPr>
                <w:rFonts w:hint="eastAsia" w:ascii="仿宋_GB2312" w:hAnsi="仿宋_GB2312" w:eastAsia="仿宋_GB2312" w:cs="仿宋_GB2312"/>
                <w:spacing w:val="-2"/>
                <w:kern w:val="0"/>
                <w:sz w:val="20"/>
                <w:szCs w:val="20"/>
                <w:highlight w:val="none"/>
                <w:lang w:eastAsia="zh-CN"/>
              </w:rPr>
              <w:t>及县委、县人民政府</w:t>
            </w:r>
            <w:r>
              <w:rPr>
                <w:rFonts w:hint="eastAsia" w:ascii="仿宋_GB2312" w:hAnsi="仿宋_GB2312" w:eastAsia="仿宋_GB2312" w:cs="仿宋_GB2312"/>
                <w:spacing w:val="-2"/>
                <w:kern w:val="0"/>
                <w:sz w:val="20"/>
                <w:szCs w:val="20"/>
                <w:highlight w:val="none"/>
              </w:rPr>
              <w:t>有关文件中明确的免责情形</w:t>
            </w:r>
          </w:p>
        </w:tc>
        <w:tc>
          <w:tcPr>
            <w:tcW w:w="737"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2064" w:hRule="atLeast"/>
          <w:jc w:val="center"/>
        </w:trPr>
        <w:tc>
          <w:tcPr>
            <w:tcW w:w="52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highlight w:val="none"/>
                <w:lang w:val="en-US" w:eastAsia="zh-CN"/>
              </w:rPr>
            </w:pPr>
            <w:r>
              <w:rPr>
                <w:rFonts w:hint="eastAsia" w:ascii="仿宋_GB2312" w:hAnsi="仿宋_GB2312" w:eastAsia="仿宋_GB2312" w:cs="仿宋_GB2312"/>
                <w:kern w:val="0"/>
                <w:sz w:val="20"/>
                <w:szCs w:val="20"/>
                <w:highlight w:val="none"/>
                <w:lang w:val="en-US" w:eastAsia="zh-CN"/>
              </w:rPr>
              <w:t>34</w:t>
            </w:r>
          </w:p>
        </w:tc>
        <w:tc>
          <w:tcPr>
            <w:tcW w:w="457" w:type="dxa"/>
            <w:noWrap w:val="0"/>
            <w:tcMar>
              <w:top w:w="28" w:type="dxa"/>
              <w:left w:w="28" w:type="dxa"/>
              <w:bottom w:w="28" w:type="dxa"/>
              <w:right w:w="28" w:type="dxa"/>
            </w:tcMar>
            <w:vAlign w:val="center"/>
          </w:tcPr>
          <w:p>
            <w:pPr>
              <w:adjustRightInd w:val="0"/>
              <w:snapToGrid w:val="0"/>
              <w:spacing w:line="300" w:lineRule="exact"/>
              <w:jc w:val="center"/>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其他行政权力</w:t>
            </w:r>
          </w:p>
        </w:tc>
        <w:tc>
          <w:tcPr>
            <w:tcW w:w="48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统计资料的补正</w:t>
            </w:r>
          </w:p>
        </w:tc>
        <w:tc>
          <w:tcPr>
            <w:tcW w:w="60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highlight w:val="none"/>
              </w:rPr>
            </w:pPr>
          </w:p>
        </w:tc>
        <w:tc>
          <w:tcPr>
            <w:tcW w:w="47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snapToGrid w:val="0"/>
                <w:color w:val="auto"/>
                <w:sz w:val="20"/>
                <w:szCs w:val="20"/>
                <w:highlight w:val="none"/>
                <w:lang w:val="en-US" w:eastAsia="zh-CN"/>
              </w:rPr>
              <w:t>三江侗族自治县</w:t>
            </w:r>
            <w:r>
              <w:rPr>
                <w:rFonts w:hint="eastAsia" w:ascii="仿宋_GB2312" w:hAnsi="仿宋_GB2312" w:eastAsia="仿宋_GB2312" w:cs="仿宋_GB2312"/>
                <w:snapToGrid w:val="0"/>
                <w:color w:val="auto"/>
                <w:sz w:val="20"/>
                <w:szCs w:val="20"/>
                <w:highlight w:val="none"/>
                <w:lang w:eastAsia="zh-CN"/>
              </w:rPr>
              <w:t>古宜镇</w:t>
            </w:r>
            <w:r>
              <w:rPr>
                <w:rFonts w:hint="eastAsia" w:ascii="仿宋_GB2312" w:hAnsi="仿宋_GB2312" w:eastAsia="仿宋_GB2312" w:cs="仿宋_GB2312"/>
                <w:snapToGrid w:val="0"/>
                <w:color w:val="auto"/>
                <w:sz w:val="20"/>
                <w:szCs w:val="20"/>
                <w:highlight w:val="none"/>
                <w:lang w:val="en-US" w:eastAsia="zh-CN"/>
              </w:rPr>
              <w:t>人民政府</w:t>
            </w:r>
          </w:p>
        </w:tc>
        <w:tc>
          <w:tcPr>
            <w:tcW w:w="721"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社会经济发展办公室</w:t>
            </w:r>
            <w:r>
              <w:rPr>
                <w:rFonts w:hint="eastAsia" w:ascii="仿宋_GB2312" w:hAnsi="仿宋_GB2312" w:eastAsia="仿宋_GB2312" w:cs="仿宋_GB2312"/>
                <w:kern w:val="0"/>
                <w:sz w:val="20"/>
                <w:szCs w:val="20"/>
                <w:highlight w:val="none"/>
                <w:lang w:eastAsia="zh-CN"/>
              </w:rPr>
              <w:t>（统计工作办公室）</w:t>
            </w:r>
          </w:p>
        </w:tc>
        <w:tc>
          <w:tcPr>
            <w:tcW w:w="293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行政法规】《中华人民共和国统计法实施条例》（2017年国务院令第681号）第十九条：县级以上人民政府统计机构、有关部门和乡、镇统计人员，应当对统计调查对象提供的统计资料进行审核。统计资料不完整或者存在明显错误的，应当由统计调查对象依法予以补充或者改正。</w:t>
            </w:r>
          </w:p>
        </w:tc>
        <w:tc>
          <w:tcPr>
            <w:tcW w:w="2730"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1.对统计调查对象提供的统计资料进行审核；</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2.统计资料不完整或者存在明显错误的，督促指导统计调查对象依法予以补充或者改正。</w:t>
            </w:r>
          </w:p>
        </w:tc>
        <w:tc>
          <w:tcPr>
            <w:tcW w:w="381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【行政法规】《中华人民共和国统计法实施条例》（2017年4月12日中华人民共和国国务院令 第681号发布）第十九条：县级以上人民政府统计机构、有关部门和乡、镇统计人员，应当对统计调查对象提供的统计资料进行审核。统计资料不完整或者存在明显错误的，应当由统计调查对象依法予以补充或者改正。</w:t>
            </w:r>
          </w:p>
        </w:tc>
        <w:tc>
          <w:tcPr>
            <w:tcW w:w="2969"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 xml:space="preserve"> 1.未对统计调查对象提供的统计资料进行审核；</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rPr>
              <w:t xml:space="preserve"> 2.不督促指导统计调查对象依法予以补充或者改正。</w:t>
            </w:r>
          </w:p>
        </w:tc>
        <w:tc>
          <w:tcPr>
            <w:tcW w:w="4161" w:type="dxa"/>
            <w:noWrap w:val="0"/>
            <w:tcMar>
              <w:top w:w="28" w:type="dxa"/>
              <w:left w:w="28" w:type="dxa"/>
              <w:bottom w:w="28" w:type="dxa"/>
              <w:right w:w="28" w:type="dxa"/>
            </w:tcMar>
            <w:vAlign w:val="center"/>
          </w:tcPr>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法律】《中华人民共和国统计法》（1983年12月8日第六届全国人民代表大会常务委员会第三次会议通过，1996年5月15日第八届全国人民代表大会常务委员会第十九次会议修正，2009年6月27日第十一届全国人民代表大会常务委员会第九次会议修订）第三十七条 地方人民政府、政府统计机构或者有关部门、单位的负责人有下列行为之一的，由任免机关或者监察机关依法给予处分，并由县级以上人民政府统计机构予以通报：</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（一）自行修改统计资料、编造虚假统计数据的；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（二）要求统计机构、统计人员或者其他机构、人员伪造、篡改统计资料的；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rPr>
            </w:pPr>
            <w:r>
              <w:rPr>
                <w:rFonts w:hint="eastAsia" w:ascii="仿宋_GB2312" w:hAnsi="仿宋_GB2312" w:eastAsia="仿宋_GB2312" w:cs="仿宋_GB2312"/>
                <w:kern w:val="0"/>
                <w:sz w:val="20"/>
                <w:szCs w:val="20"/>
                <w:highlight w:val="none"/>
              </w:rPr>
              <w:t>（三）对依法履行职责或者拒绝、抵制统计违法行为的统计人员打击报复的；</w:t>
            </w:r>
          </w:p>
          <w:p>
            <w:pPr>
              <w:adjustRightInd w:val="0"/>
              <w:snapToGrid w:val="0"/>
              <w:spacing w:line="300" w:lineRule="exact"/>
              <w:ind w:firstLine="400" w:firstLineChars="200"/>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kern w:val="0"/>
                <w:sz w:val="20"/>
                <w:szCs w:val="20"/>
                <w:highlight w:val="none"/>
              </w:rPr>
              <w:t>（四）对本地方、本部门、本单位发生的严重统计违法行为失察的。</w:t>
            </w:r>
          </w:p>
        </w:tc>
        <w:tc>
          <w:tcPr>
            <w:tcW w:w="1170"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highlight w:val="none"/>
                <w:lang w:val="en-US" w:eastAsia="zh-CN" w:bidi="ar-SA"/>
              </w:rPr>
            </w:pPr>
            <w:r>
              <w:rPr>
                <w:rFonts w:hint="eastAsia" w:ascii="仿宋_GB2312" w:hAnsi="仿宋_GB2312" w:eastAsia="仿宋_GB2312" w:cs="仿宋_GB2312"/>
                <w:spacing w:val="-2"/>
                <w:kern w:val="0"/>
                <w:sz w:val="20"/>
                <w:szCs w:val="20"/>
                <w:highlight w:val="none"/>
              </w:rPr>
              <w:t>法律法规规定的免责情形</w:t>
            </w:r>
            <w:r>
              <w:rPr>
                <w:rFonts w:hint="eastAsia" w:ascii="仿宋_GB2312" w:hAnsi="仿宋_GB2312" w:eastAsia="仿宋_GB2312" w:cs="仿宋_GB2312"/>
                <w:spacing w:val="-2"/>
                <w:kern w:val="0"/>
                <w:sz w:val="20"/>
                <w:szCs w:val="20"/>
                <w:highlight w:val="none"/>
                <w:lang w:eastAsia="zh-CN"/>
              </w:rPr>
              <w:t>及县委、县人民政府</w:t>
            </w:r>
            <w:r>
              <w:rPr>
                <w:rFonts w:hint="eastAsia" w:ascii="仿宋_GB2312" w:hAnsi="仿宋_GB2312" w:eastAsia="仿宋_GB2312" w:cs="仿宋_GB2312"/>
                <w:spacing w:val="-2"/>
                <w:kern w:val="0"/>
                <w:sz w:val="20"/>
                <w:szCs w:val="20"/>
                <w:highlight w:val="none"/>
              </w:rPr>
              <w:t>有关文件中明确的免责情形</w:t>
            </w:r>
          </w:p>
        </w:tc>
        <w:tc>
          <w:tcPr>
            <w:tcW w:w="737" w:type="dxa"/>
            <w:noWrap w:val="0"/>
            <w:tcMar>
              <w:top w:w="28" w:type="dxa"/>
              <w:left w:w="28" w:type="dxa"/>
              <w:bottom w:w="28" w:type="dxa"/>
              <w:right w:w="28" w:type="dxa"/>
            </w:tcMar>
            <w:vAlign w:val="center"/>
          </w:tcPr>
          <w:p>
            <w:pPr>
              <w:adjustRightInd w:val="0"/>
              <w:snapToGrid w:val="0"/>
              <w:spacing w:line="300" w:lineRule="exact"/>
              <w:rPr>
                <w:rFonts w:hint="eastAsia" w:ascii="仿宋_GB2312" w:hAnsi="仿宋_GB2312" w:eastAsia="仿宋_GB2312" w:cs="仿宋_GB2312"/>
                <w:kern w:val="0"/>
                <w:sz w:val="20"/>
                <w:szCs w:val="20"/>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08" w:type="dxa"/>
            <w:bottom w:w="15" w:type="dxa"/>
            <w:right w:w="108" w:type="dxa"/>
          </w:tblCellMar>
        </w:tblPrEx>
        <w:trPr>
          <w:trHeight w:val="12697" w:hRule="atLeast"/>
          <w:jc w:val="center"/>
        </w:trPr>
        <w:tc>
          <w:tcPr>
            <w:tcW w:w="527" w:type="dxa"/>
            <w:noWrap w:val="0"/>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35</w:t>
            </w:r>
          </w:p>
        </w:tc>
        <w:tc>
          <w:tcPr>
            <w:tcW w:w="457" w:type="dxa"/>
            <w:noWrap w:val="0"/>
            <w:tcMar>
              <w:top w:w="28" w:type="dxa"/>
              <w:left w:w="28" w:type="dxa"/>
              <w:bottom w:w="28" w:type="dxa"/>
              <w:right w:w="28" w:type="dxa"/>
            </w:tcMar>
            <w:vAlign w:val="center"/>
          </w:tcPr>
          <w:p>
            <w:pPr>
              <w:widowControl/>
              <w:adjustRightInd w:val="0"/>
              <w:snapToGrid w:val="0"/>
              <w:spacing w:line="300" w:lineRule="exact"/>
              <w:jc w:val="center"/>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其他行政权力</w:t>
            </w:r>
          </w:p>
        </w:tc>
        <w:tc>
          <w:tcPr>
            <w:tcW w:w="48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出具非医学需要鉴定胎儿性别和选择性终止妊娠的证明</w:t>
            </w:r>
          </w:p>
        </w:tc>
        <w:tc>
          <w:tcPr>
            <w:tcW w:w="600"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p>
        </w:tc>
        <w:tc>
          <w:tcPr>
            <w:tcW w:w="479"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snapToGrid w:val="0"/>
                <w:color w:val="auto"/>
                <w:sz w:val="20"/>
                <w:szCs w:val="20"/>
                <w:highlight w:val="none"/>
                <w:lang w:val="en-US" w:eastAsia="zh-CN"/>
              </w:rPr>
              <w:t>三江侗族自治县古宜镇人民政府</w:t>
            </w:r>
          </w:p>
        </w:tc>
        <w:tc>
          <w:tcPr>
            <w:tcW w:w="721"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rPr>
            </w:pPr>
            <w:r>
              <w:rPr>
                <w:rFonts w:hint="default" w:ascii="仿宋_GB2312" w:hAnsi="仿宋_GB2312" w:eastAsia="仿宋_GB2312" w:cs="仿宋_GB2312"/>
                <w:color w:val="auto"/>
                <w:kern w:val="0"/>
                <w:sz w:val="20"/>
                <w:szCs w:val="20"/>
                <w:highlight w:val="none"/>
                <w:lang w:val="en-US" w:eastAsia="zh-CN"/>
              </w:rPr>
              <w:t>行政审批和政务服务中心</w:t>
            </w:r>
          </w:p>
        </w:tc>
        <w:tc>
          <w:tcPr>
            <w:tcW w:w="2939"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【地方性法规】《广西壮族自治区禁止非医学需要鉴定胎儿性别和选择性别人工终止妊娠的规定》（2011年广西壮族自治区第十一届人民代表大会常务委员会第二十二次会议通过）第九</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符合法定生育条件且妊娠十四周以上的妇女不得人工终止妊娠，但有下列情形之一的除外：</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（一）胎儿有严重缺陷或者患有严重遗传性疾病的；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（二）妊娠妇女患有严重疾病，继续妊娠将危及生命安全或者严重危害健康的；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（三）经自治区人民政府卫生行政部门指定的医疗保健机构诊断认为需要终止妊娠的；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（四）离婚、丧偶等要求终止妊娠的。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第十</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医疗保健机构或者计划生育技术服务机构施行人工终止妊娠手术前，应当遵守下列规定：</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（一）有第八条和第九条第一项、第二项、第三项规定情形之一的，查验本人身份证明和自治区人民政府卫生行政部门指定的医疗保健机构或者开展产前诊断的县级以上医疗保健机构出具的医学诊断证明；</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（二）有第九条第四项规定情形的，查验本人身份证明和县级人民政府人口和计划生育行政部门或者所在乡（镇）人民政府、街道办事处计划生育工作机构出具的证明。</w:t>
            </w:r>
          </w:p>
        </w:tc>
        <w:tc>
          <w:tcPr>
            <w:tcW w:w="2730"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1.受理环节责任：公示依法应当提交的材料和受理条件；一次性告知补齐补正材料；依法受理或不予受理（不予受理应当告知理由）。</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2.审查环节责任：审核材料真实性和合法性，并提出审查意见。</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3.决定环节责任：作出行政许可或不予行政许可的决定（不予许可的应书面说明理由，并告知当事人享有依法申请行政复议或提起行政诉讼的权利）。</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4.送达环节责任：准予许可的，制发许可证书或批件。</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lang w:val="en-US" w:eastAsia="zh-CN"/>
              </w:rPr>
            </w:pPr>
            <w:r>
              <w:rPr>
                <w:rFonts w:hint="eastAsia" w:ascii="仿宋_GB2312" w:hAnsi="仿宋_GB2312" w:eastAsia="仿宋_GB2312" w:cs="仿宋_GB2312"/>
                <w:color w:val="auto"/>
                <w:kern w:val="0"/>
                <w:sz w:val="20"/>
                <w:szCs w:val="20"/>
                <w:highlight w:val="none"/>
                <w:lang w:val="en-US" w:eastAsia="zh-CN"/>
              </w:rPr>
              <w:t>5.</w:t>
            </w:r>
            <w:r>
              <w:rPr>
                <w:rFonts w:hint="eastAsia" w:ascii="仿宋_GB2312" w:hAnsi="仿宋_GB2312" w:eastAsia="仿宋_GB2312" w:cs="仿宋_GB2312"/>
                <w:color w:val="auto"/>
                <w:kern w:val="0"/>
                <w:sz w:val="20"/>
                <w:szCs w:val="20"/>
                <w:highlight w:val="none"/>
              </w:rPr>
              <w:t>其他法律法规规章文件规定应履行的责任。</w:t>
            </w:r>
          </w:p>
        </w:tc>
        <w:tc>
          <w:tcPr>
            <w:tcW w:w="381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1.【法律】</w:t>
            </w:r>
            <w:r>
              <w:rPr>
                <w:rFonts w:hint="eastAsia" w:ascii="仿宋_GB2312" w:hAnsi="仿宋_GB2312" w:eastAsia="仿宋_GB2312" w:cs="仿宋_GB2312"/>
                <w:color w:val="auto"/>
                <w:kern w:val="0"/>
                <w:sz w:val="20"/>
                <w:szCs w:val="20"/>
                <w:highlight w:val="none"/>
                <w:lang w:eastAsia="zh-CN"/>
              </w:rPr>
              <w:t>《中华人民共和国行政许可法》</w:t>
            </w:r>
            <w:r>
              <w:rPr>
                <w:rFonts w:hint="eastAsia" w:ascii="仿宋_GB2312" w:hAnsi="仿宋_GB2312" w:eastAsia="仿宋_GB2312" w:cs="仿宋_GB2312"/>
                <w:color w:val="auto"/>
                <w:kern w:val="0"/>
                <w:sz w:val="20"/>
                <w:szCs w:val="20"/>
                <w:highlight w:val="none"/>
              </w:rPr>
              <w:t>第三十</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应当将法律、法规、规章规定的有关行政许可的事项、依据、条件、数量、程序、期限以及需要提交的全部材料的目录和申请书示范文本等在办公场所公示。申请人要求行政机关对公示内容予以说明、解释的，行政机关应当说明、解释，提供准确、可靠的信息。</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2.【法律】</w:t>
            </w:r>
            <w:r>
              <w:rPr>
                <w:rFonts w:hint="eastAsia" w:ascii="仿宋_GB2312" w:hAnsi="仿宋_GB2312" w:eastAsia="仿宋_GB2312" w:cs="仿宋_GB2312"/>
                <w:color w:val="auto"/>
                <w:kern w:val="0"/>
                <w:sz w:val="20"/>
                <w:szCs w:val="20"/>
                <w:highlight w:val="none"/>
                <w:lang w:eastAsia="zh-CN"/>
              </w:rPr>
              <w:t>《中华人民共和国行政许可法》</w:t>
            </w:r>
            <w:r>
              <w:rPr>
                <w:rFonts w:hint="eastAsia" w:ascii="仿宋_GB2312" w:hAnsi="仿宋_GB2312" w:eastAsia="仿宋_GB2312" w:cs="仿宋_GB2312"/>
                <w:color w:val="auto"/>
                <w:kern w:val="0"/>
                <w:sz w:val="20"/>
                <w:szCs w:val="20"/>
                <w:highlight w:val="none"/>
              </w:rPr>
              <w:t>第三十四</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应当对申请人提交的申请材料进行审查。申请人提交的申请材料齐全、符合法定形式，行政机关能够当场作出决定的，应当当场作出书面的行政许可决定。根据法定条件和程序，需要对申请材料的实质内容进行核实的，行政机关应当指派两名以上工作人员进行核查。</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3.【法律】</w:t>
            </w:r>
            <w:r>
              <w:rPr>
                <w:rFonts w:hint="eastAsia" w:ascii="仿宋_GB2312" w:hAnsi="仿宋_GB2312" w:eastAsia="仿宋_GB2312" w:cs="仿宋_GB2312"/>
                <w:color w:val="auto"/>
                <w:kern w:val="0"/>
                <w:sz w:val="20"/>
                <w:szCs w:val="20"/>
                <w:highlight w:val="none"/>
                <w:lang w:eastAsia="zh-CN"/>
              </w:rPr>
              <w:t>《中华人民共和国行政许可法》</w:t>
            </w:r>
            <w:r>
              <w:rPr>
                <w:rFonts w:hint="eastAsia" w:ascii="仿宋_GB2312" w:hAnsi="仿宋_GB2312" w:eastAsia="仿宋_GB2312" w:cs="仿宋_GB2312"/>
                <w:color w:val="auto"/>
                <w:kern w:val="0"/>
                <w:sz w:val="20"/>
                <w:szCs w:val="20"/>
                <w:highlight w:val="none"/>
              </w:rPr>
              <w:t>第三十八</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申请人的申请符合法定条件、标准的，行政机关应当依法作出准予行政许可的书面决定。行政机关依法作出不予行政许可的书面决定的，应当说明理由，并告知申请人享有依法申请行政复议或者提起行政诉讼的权利 。</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4.【法律】</w:t>
            </w:r>
            <w:r>
              <w:rPr>
                <w:rFonts w:hint="eastAsia" w:ascii="仿宋_GB2312" w:hAnsi="仿宋_GB2312" w:eastAsia="仿宋_GB2312" w:cs="仿宋_GB2312"/>
                <w:color w:val="auto"/>
                <w:kern w:val="0"/>
                <w:sz w:val="20"/>
                <w:szCs w:val="20"/>
                <w:highlight w:val="none"/>
                <w:lang w:eastAsia="zh-CN"/>
              </w:rPr>
              <w:t>《中华人民共和国行政许可法》</w:t>
            </w:r>
            <w:r>
              <w:rPr>
                <w:rFonts w:hint="eastAsia" w:ascii="仿宋_GB2312" w:hAnsi="仿宋_GB2312" w:eastAsia="仿宋_GB2312" w:cs="仿宋_GB2312"/>
                <w:color w:val="auto"/>
                <w:kern w:val="0"/>
                <w:sz w:val="20"/>
                <w:szCs w:val="20"/>
                <w:highlight w:val="none"/>
              </w:rPr>
              <w:t>第四十四</w:t>
            </w:r>
            <w:r>
              <w:rPr>
                <w:rFonts w:hint="eastAsia" w:ascii="仿宋_GB2312" w:hAnsi="仿宋_GB2312" w:eastAsia="仿宋_GB2312" w:cs="仿宋_GB2312"/>
                <w:color w:val="auto"/>
                <w:kern w:val="0"/>
                <w:sz w:val="20"/>
                <w:szCs w:val="20"/>
                <w:highlight w:val="none"/>
                <w:lang w:eastAsia="zh-CN"/>
              </w:rPr>
              <w:t>条：</w:t>
            </w:r>
            <w:r>
              <w:rPr>
                <w:rFonts w:hint="eastAsia" w:ascii="仿宋_GB2312" w:hAnsi="仿宋_GB2312" w:eastAsia="仿宋_GB2312" w:cs="仿宋_GB2312"/>
                <w:color w:val="auto"/>
                <w:kern w:val="0"/>
                <w:sz w:val="20"/>
                <w:szCs w:val="20"/>
                <w:highlight w:val="none"/>
              </w:rPr>
              <w:t>行政机关作出准予行政许可的决定，应当自作出决定之日起十日内向申请人颁发、送达行政许可证件，或者加贴标签、加盖检验、检测、检疫印章。</w:t>
            </w:r>
          </w:p>
        </w:tc>
        <w:tc>
          <w:tcPr>
            <w:tcW w:w="2969"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xml:space="preserve"> 因不履行或不正确履行行政职责，有下列情形的，行政机关及相关工作人员应承担相应责任：</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xml:space="preserve">    1.对符合法定条件的申请不予受理；</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xml:space="preserve">    2.对不符合条件的申请，违规受理，造成不良影响的；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xml:space="preserve">    3.其他违反法律法规政策规定的行为。</w:t>
            </w:r>
          </w:p>
        </w:tc>
        <w:tc>
          <w:tcPr>
            <w:tcW w:w="4161" w:type="dxa"/>
            <w:noWrap w:val="0"/>
            <w:tcMar>
              <w:top w:w="28" w:type="dxa"/>
              <w:left w:w="28" w:type="dxa"/>
              <w:bottom w:w="28" w:type="dxa"/>
              <w:right w:w="28" w:type="dxa"/>
            </w:tcMar>
            <w:vAlign w:val="center"/>
          </w:tcPr>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xml:space="preserve">  【法律】《行政许可法》（2003年主席令第七号公布）</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xml:space="preserve">    第七十二条“行政机关及其工作人员违反本法的规定，有下列情形之一的，由其上级行政机关或者监察机关责令改正；情节严重的，对直接负责的主管人员和其他直接责任人员依法给予行政处分：（一）对符合法定条件的行政许可申请不予受理的；”</w:t>
            </w:r>
          </w:p>
          <w:p>
            <w:pPr>
              <w:widowControl/>
              <w:adjustRightInd w:val="0"/>
              <w:snapToGrid w:val="0"/>
              <w:spacing w:line="300" w:lineRule="exact"/>
              <w:ind w:firstLine="400"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color w:val="auto"/>
                <w:kern w:val="0"/>
                <w:sz w:val="20"/>
                <w:szCs w:val="20"/>
                <w:highlight w:val="none"/>
              </w:rPr>
              <w:t xml:space="preserve">   </w:t>
            </w:r>
          </w:p>
        </w:tc>
        <w:tc>
          <w:tcPr>
            <w:tcW w:w="1170" w:type="dxa"/>
            <w:noWrap w:val="0"/>
            <w:tcMar>
              <w:top w:w="28" w:type="dxa"/>
              <w:left w:w="28" w:type="dxa"/>
              <w:bottom w:w="28" w:type="dxa"/>
              <w:right w:w="28" w:type="dxa"/>
            </w:tcMar>
            <w:vAlign w:val="center"/>
          </w:tcPr>
          <w:p>
            <w:pPr>
              <w:widowControl/>
              <w:adjustRightInd w:val="0"/>
              <w:snapToGrid w:val="0"/>
              <w:spacing w:line="300" w:lineRule="exact"/>
              <w:ind w:firstLine="392" w:firstLineChars="200"/>
              <w:rPr>
                <w:rFonts w:hint="eastAsia" w:ascii="仿宋_GB2312" w:hAnsi="仿宋_GB2312" w:eastAsia="仿宋_GB2312" w:cs="仿宋_GB2312"/>
                <w:color w:val="auto"/>
                <w:kern w:val="0"/>
                <w:sz w:val="20"/>
                <w:szCs w:val="20"/>
                <w:highlight w:val="none"/>
              </w:rPr>
            </w:pPr>
            <w:r>
              <w:rPr>
                <w:rFonts w:hint="eastAsia" w:ascii="仿宋_GB2312" w:hAnsi="仿宋_GB2312" w:eastAsia="仿宋_GB2312" w:cs="仿宋_GB2312"/>
                <w:spacing w:val="-2"/>
                <w:kern w:val="0"/>
                <w:sz w:val="20"/>
                <w:szCs w:val="20"/>
                <w:highlight w:val="none"/>
              </w:rPr>
              <w:t>法律法规规定的免责情形</w:t>
            </w:r>
            <w:r>
              <w:rPr>
                <w:rFonts w:hint="eastAsia" w:ascii="仿宋_GB2312" w:hAnsi="仿宋_GB2312" w:eastAsia="仿宋_GB2312" w:cs="仿宋_GB2312"/>
                <w:spacing w:val="-2"/>
                <w:kern w:val="0"/>
                <w:sz w:val="20"/>
                <w:szCs w:val="20"/>
                <w:highlight w:val="none"/>
                <w:lang w:eastAsia="zh-CN"/>
              </w:rPr>
              <w:t>及县委、县人民政府</w:t>
            </w:r>
            <w:r>
              <w:rPr>
                <w:rFonts w:hint="eastAsia" w:ascii="仿宋_GB2312" w:hAnsi="仿宋_GB2312" w:eastAsia="仿宋_GB2312" w:cs="仿宋_GB2312"/>
                <w:spacing w:val="-2"/>
                <w:kern w:val="0"/>
                <w:sz w:val="20"/>
                <w:szCs w:val="20"/>
                <w:highlight w:val="none"/>
              </w:rPr>
              <w:t>有关文件中明确的免责情形</w:t>
            </w:r>
          </w:p>
        </w:tc>
        <w:tc>
          <w:tcPr>
            <w:tcW w:w="737" w:type="dxa"/>
            <w:noWrap w:val="0"/>
            <w:tcMar>
              <w:top w:w="28" w:type="dxa"/>
              <w:left w:w="28" w:type="dxa"/>
              <w:bottom w:w="28" w:type="dxa"/>
              <w:right w:w="28" w:type="dxa"/>
            </w:tcMar>
            <w:vAlign w:val="center"/>
          </w:tcPr>
          <w:p>
            <w:pPr>
              <w:widowControl/>
              <w:adjustRightInd w:val="0"/>
              <w:snapToGrid w:val="0"/>
              <w:spacing w:line="300" w:lineRule="exact"/>
              <w:rPr>
                <w:rFonts w:hint="eastAsia" w:ascii="仿宋_GB2312" w:hAnsi="仿宋_GB2312" w:eastAsia="仿宋_GB2312" w:cs="仿宋_GB2312"/>
                <w:color w:val="auto"/>
                <w:kern w:val="0"/>
                <w:sz w:val="20"/>
                <w:szCs w:val="20"/>
                <w:highlight w:val="none"/>
                <w:lang w:val="en-US" w:eastAsia="zh-CN"/>
              </w:rPr>
            </w:pPr>
          </w:p>
        </w:tc>
      </w:tr>
    </w:tbl>
    <w:p>
      <w:pPr>
        <w:rPr>
          <w:rFonts w:hint="eastAsia" w:ascii="仿宋_GB2312" w:hAnsi="仿宋_GB2312" w:eastAsia="仿宋_GB2312" w:cs="仿宋_GB2312"/>
          <w:sz w:val="20"/>
          <w:szCs w:val="20"/>
          <w:highlight w:val="none"/>
        </w:rPr>
      </w:pPr>
    </w:p>
    <w:sectPr>
      <w:footerReference r:id="rId3" w:type="default"/>
      <w:pgSz w:w="23811" w:h="16838" w:orient="landscape"/>
      <w:pgMar w:top="1066" w:right="1043" w:bottom="1066" w:left="1043"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2000000000000000000"/>
    <w:charset w:val="86"/>
    <w:family w:val="script"/>
    <w:pitch w:val="default"/>
    <w:sig w:usb0="00000000" w:usb1="00000000" w:usb2="00000000" w:usb3="00000000" w:csb0="00040000" w:csb1="00000000"/>
  </w:font>
  <w:font w:name="DejaVu Sans">
    <w:altName w:val="Segoe Print"/>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MTE0N2ZkNTM5ZWZlMzRmMmI1OWUwM2EzN2I5NWIifQ=="/>
  </w:docVars>
  <w:rsids>
    <w:rsidRoot w:val="5DCA0F26"/>
    <w:rsid w:val="00E37E46"/>
    <w:rsid w:val="015F5DD0"/>
    <w:rsid w:val="031569F5"/>
    <w:rsid w:val="04FE56D2"/>
    <w:rsid w:val="05460069"/>
    <w:rsid w:val="057C552B"/>
    <w:rsid w:val="06820D66"/>
    <w:rsid w:val="068E2344"/>
    <w:rsid w:val="06D575E9"/>
    <w:rsid w:val="077F14C3"/>
    <w:rsid w:val="07F72B3F"/>
    <w:rsid w:val="08DE3DA3"/>
    <w:rsid w:val="0A3751CF"/>
    <w:rsid w:val="0ABF2C8D"/>
    <w:rsid w:val="0B552AA6"/>
    <w:rsid w:val="0C9E722C"/>
    <w:rsid w:val="0D164AB3"/>
    <w:rsid w:val="0D16768D"/>
    <w:rsid w:val="0DDA7834"/>
    <w:rsid w:val="0E6354DA"/>
    <w:rsid w:val="0EF7654A"/>
    <w:rsid w:val="10797AFB"/>
    <w:rsid w:val="10845C94"/>
    <w:rsid w:val="10E52823"/>
    <w:rsid w:val="110113F5"/>
    <w:rsid w:val="116B5E91"/>
    <w:rsid w:val="12371472"/>
    <w:rsid w:val="13234B6C"/>
    <w:rsid w:val="138446FB"/>
    <w:rsid w:val="13AD0114"/>
    <w:rsid w:val="13F13B5D"/>
    <w:rsid w:val="144775E6"/>
    <w:rsid w:val="14F7361D"/>
    <w:rsid w:val="15F32621"/>
    <w:rsid w:val="16957FFC"/>
    <w:rsid w:val="169D22EB"/>
    <w:rsid w:val="17421926"/>
    <w:rsid w:val="175E564A"/>
    <w:rsid w:val="17845CA2"/>
    <w:rsid w:val="178C1FD1"/>
    <w:rsid w:val="179D3B41"/>
    <w:rsid w:val="1830753E"/>
    <w:rsid w:val="195F2281"/>
    <w:rsid w:val="19DB6FDF"/>
    <w:rsid w:val="1AC14290"/>
    <w:rsid w:val="1CB42226"/>
    <w:rsid w:val="1CDF6673"/>
    <w:rsid w:val="1D507EB3"/>
    <w:rsid w:val="1F87779B"/>
    <w:rsid w:val="204460F6"/>
    <w:rsid w:val="20515ADA"/>
    <w:rsid w:val="20753B32"/>
    <w:rsid w:val="208F59DE"/>
    <w:rsid w:val="217E4362"/>
    <w:rsid w:val="21BF4218"/>
    <w:rsid w:val="221B240C"/>
    <w:rsid w:val="230A01C2"/>
    <w:rsid w:val="240F619A"/>
    <w:rsid w:val="2416386D"/>
    <w:rsid w:val="25B65CEB"/>
    <w:rsid w:val="2722104F"/>
    <w:rsid w:val="27532294"/>
    <w:rsid w:val="277F2F2D"/>
    <w:rsid w:val="280E2503"/>
    <w:rsid w:val="28294644"/>
    <w:rsid w:val="2ABF7F77"/>
    <w:rsid w:val="2C4415B0"/>
    <w:rsid w:val="2DEB48D6"/>
    <w:rsid w:val="2E323F3D"/>
    <w:rsid w:val="2F3A4283"/>
    <w:rsid w:val="2F921111"/>
    <w:rsid w:val="3148081D"/>
    <w:rsid w:val="31D62E1D"/>
    <w:rsid w:val="32694107"/>
    <w:rsid w:val="32AC4EE2"/>
    <w:rsid w:val="32BC063A"/>
    <w:rsid w:val="32FE65F6"/>
    <w:rsid w:val="330A4270"/>
    <w:rsid w:val="331D35FA"/>
    <w:rsid w:val="334E5EA9"/>
    <w:rsid w:val="338323E4"/>
    <w:rsid w:val="33C344F4"/>
    <w:rsid w:val="340706E9"/>
    <w:rsid w:val="34336FF2"/>
    <w:rsid w:val="359B0B00"/>
    <w:rsid w:val="360965D7"/>
    <w:rsid w:val="366E215D"/>
    <w:rsid w:val="36C41867"/>
    <w:rsid w:val="36CA4935"/>
    <w:rsid w:val="37983B97"/>
    <w:rsid w:val="385D2697"/>
    <w:rsid w:val="3A3F1455"/>
    <w:rsid w:val="3A4B6C12"/>
    <w:rsid w:val="3A7F1E32"/>
    <w:rsid w:val="3AB41D1C"/>
    <w:rsid w:val="3B384752"/>
    <w:rsid w:val="3B9A23E6"/>
    <w:rsid w:val="3BD6018C"/>
    <w:rsid w:val="3C19653A"/>
    <w:rsid w:val="3D4963CF"/>
    <w:rsid w:val="3D637687"/>
    <w:rsid w:val="3E520A0E"/>
    <w:rsid w:val="3F1E642D"/>
    <w:rsid w:val="3F5C58B2"/>
    <w:rsid w:val="403F656D"/>
    <w:rsid w:val="407A02AE"/>
    <w:rsid w:val="41A575DC"/>
    <w:rsid w:val="4339149F"/>
    <w:rsid w:val="43DC0EAD"/>
    <w:rsid w:val="44504CFF"/>
    <w:rsid w:val="449D3834"/>
    <w:rsid w:val="45034D45"/>
    <w:rsid w:val="45BE69EE"/>
    <w:rsid w:val="45C046FE"/>
    <w:rsid w:val="466752F2"/>
    <w:rsid w:val="46B95949"/>
    <w:rsid w:val="47056F72"/>
    <w:rsid w:val="47274BDA"/>
    <w:rsid w:val="473C4359"/>
    <w:rsid w:val="476F48BD"/>
    <w:rsid w:val="47F52506"/>
    <w:rsid w:val="48616501"/>
    <w:rsid w:val="498F1A9B"/>
    <w:rsid w:val="4A1D4FA7"/>
    <w:rsid w:val="4A46080E"/>
    <w:rsid w:val="4C026487"/>
    <w:rsid w:val="4C0902B0"/>
    <w:rsid w:val="4D1A1CDF"/>
    <w:rsid w:val="4D3032B0"/>
    <w:rsid w:val="4F1B2C8C"/>
    <w:rsid w:val="4FD82365"/>
    <w:rsid w:val="50103C1A"/>
    <w:rsid w:val="5283444E"/>
    <w:rsid w:val="53227120"/>
    <w:rsid w:val="544B5FDC"/>
    <w:rsid w:val="54813591"/>
    <w:rsid w:val="54B54496"/>
    <w:rsid w:val="54DA05AA"/>
    <w:rsid w:val="54ED6EBD"/>
    <w:rsid w:val="54FB29CE"/>
    <w:rsid w:val="552117E0"/>
    <w:rsid w:val="552A088E"/>
    <w:rsid w:val="56067C81"/>
    <w:rsid w:val="56220954"/>
    <w:rsid w:val="5667559D"/>
    <w:rsid w:val="58785589"/>
    <w:rsid w:val="5A05197F"/>
    <w:rsid w:val="5A221B66"/>
    <w:rsid w:val="5AD00162"/>
    <w:rsid w:val="5AD2718F"/>
    <w:rsid w:val="5BFD58CF"/>
    <w:rsid w:val="5D3D6DEF"/>
    <w:rsid w:val="5DCA0F26"/>
    <w:rsid w:val="5E540135"/>
    <w:rsid w:val="606E4E45"/>
    <w:rsid w:val="60AE592B"/>
    <w:rsid w:val="6106379C"/>
    <w:rsid w:val="618D7A19"/>
    <w:rsid w:val="632471DC"/>
    <w:rsid w:val="64B42626"/>
    <w:rsid w:val="670A7A34"/>
    <w:rsid w:val="68B021EF"/>
    <w:rsid w:val="69AA263B"/>
    <w:rsid w:val="6B7439F8"/>
    <w:rsid w:val="6B8A0454"/>
    <w:rsid w:val="6C1A3DE9"/>
    <w:rsid w:val="6D375CEF"/>
    <w:rsid w:val="6DB23336"/>
    <w:rsid w:val="6DCC3F57"/>
    <w:rsid w:val="6E1E2DBD"/>
    <w:rsid w:val="6EE25D58"/>
    <w:rsid w:val="6F10581E"/>
    <w:rsid w:val="700A405F"/>
    <w:rsid w:val="70C70C40"/>
    <w:rsid w:val="723F6B0D"/>
    <w:rsid w:val="740B3259"/>
    <w:rsid w:val="74E514C2"/>
    <w:rsid w:val="75653527"/>
    <w:rsid w:val="75C3369B"/>
    <w:rsid w:val="75D645FB"/>
    <w:rsid w:val="760D4499"/>
    <w:rsid w:val="76497137"/>
    <w:rsid w:val="76A93F86"/>
    <w:rsid w:val="7763527B"/>
    <w:rsid w:val="776D5413"/>
    <w:rsid w:val="77733A96"/>
    <w:rsid w:val="779B2290"/>
    <w:rsid w:val="78080136"/>
    <w:rsid w:val="78105AA2"/>
    <w:rsid w:val="786C12F2"/>
    <w:rsid w:val="792228BA"/>
    <w:rsid w:val="79407273"/>
    <w:rsid w:val="798C21A4"/>
    <w:rsid w:val="79DA6121"/>
    <w:rsid w:val="7A7C72A1"/>
    <w:rsid w:val="7ACE0058"/>
    <w:rsid w:val="7AE07DDC"/>
    <w:rsid w:val="7AEE7234"/>
    <w:rsid w:val="7AF62418"/>
    <w:rsid w:val="7B7F7B3F"/>
    <w:rsid w:val="7D816EE4"/>
    <w:rsid w:val="7EA44011"/>
    <w:rsid w:val="7EBC71A1"/>
    <w:rsid w:val="7F16390D"/>
    <w:rsid w:val="7F7D45B6"/>
    <w:rsid w:val="7FA96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semiHidden/>
    <w:qFormat/>
    <w:uiPriority w:val="0"/>
    <w:pPr>
      <w:snapToGrid w:val="0"/>
      <w:jc w:val="left"/>
    </w:pPr>
    <w:rPr>
      <w:rFonts w:ascii="Times New Roman" w:hAnsi="Times New Roman"/>
      <w:kern w:val="0"/>
      <w:sz w:val="18"/>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1"/>
    <w:next w:val="1"/>
    <w:qFormat/>
    <w:uiPriority w:val="0"/>
    <w:pPr>
      <w:spacing w:after="120"/>
      <w:ind w:left="200" w:leftChars="200" w:firstLine="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21"/>
    <w:qFormat/>
    <w:uiPriority w:val="0"/>
    <w:rPr>
      <w:rFonts w:hint="eastAsia" w:ascii="宋体" w:hAnsi="宋体" w:eastAsia="宋体"/>
      <w:color w:val="000000"/>
      <w:sz w:val="20"/>
      <w:szCs w:val="20"/>
      <w:u w:val="none"/>
    </w:rPr>
  </w:style>
  <w:style w:type="character" w:customStyle="1" w:styleId="13">
    <w:name w:val="font61"/>
    <w:qFormat/>
    <w:uiPriority w:val="0"/>
    <w:rPr>
      <w:rFonts w:hint="default" w:ascii="Times New Roman" w:hAnsi="Times New Roman" w:cs="Times New Roman"/>
      <w:color w:val="000000"/>
      <w:sz w:val="20"/>
      <w:szCs w:val="20"/>
      <w:u w:val="none"/>
    </w:rPr>
  </w:style>
  <w:style w:type="character" w:customStyle="1" w:styleId="14">
    <w:name w:val="font51"/>
    <w:qFormat/>
    <w:uiPriority w:val="0"/>
    <w:rPr>
      <w:rFonts w:hint="eastAsia" w:ascii="宋体" w:hAnsi="宋体" w:eastAsia="宋体"/>
      <w:color w:val="000000"/>
      <w:sz w:val="20"/>
      <w:szCs w:val="20"/>
      <w:u w:val="none"/>
    </w:rPr>
  </w:style>
  <w:style w:type="character" w:customStyle="1" w:styleId="15">
    <w:name w:val="font11"/>
    <w:qFormat/>
    <w:uiPriority w:val="0"/>
    <w:rPr>
      <w:rFonts w:hint="eastAsia" w:ascii="宋体" w:hAnsi="宋体" w:eastAsia="宋体" w:cs="宋体"/>
      <w:color w:val="000000"/>
      <w:sz w:val="20"/>
      <w:szCs w:val="20"/>
      <w:u w:val="none"/>
    </w:rPr>
  </w:style>
  <w:style w:type="character" w:customStyle="1" w:styleId="16">
    <w:name w:val="font81"/>
    <w:basedOn w:val="11"/>
    <w:qFormat/>
    <w:uiPriority w:val="0"/>
    <w:rPr>
      <w:rFonts w:ascii="DejaVu Sans" w:hAnsi="DejaVu Sans" w:eastAsia="DejaVu Sans" w:cs="DejaVu Sans"/>
      <w:color w:val="FF0000"/>
      <w:sz w:val="18"/>
      <w:szCs w:val="18"/>
      <w:u w:val="none"/>
    </w:rPr>
  </w:style>
  <w:style w:type="character" w:customStyle="1" w:styleId="17">
    <w:name w:val="font31"/>
    <w:basedOn w:val="11"/>
    <w:qFormat/>
    <w:uiPriority w:val="0"/>
    <w:rPr>
      <w:rFonts w:hint="default" w:ascii="方正书宋_GBK" w:hAnsi="方正书宋_GBK" w:eastAsia="方正书宋_GBK" w:cs="方正书宋_GBK"/>
      <w:color w:val="FF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75</Pages>
  <Words>115809</Words>
  <Characters>118644</Characters>
  <Lines>0</Lines>
  <Paragraphs>0</Paragraphs>
  <TotalTime>76</TotalTime>
  <ScaleCrop>false</ScaleCrop>
  <LinksUpToDate>false</LinksUpToDate>
  <CharactersWithSpaces>119568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2022-05-23T08:07:00Z</dcterms:created>
  <dc:creator>暖暖</dc:creator>
  <cp:lastModifiedBy>Jenny</cp:lastModifiedBy>
  <dcterms:modified xsi:type="dcterms:W3CDTF">2023-03-03T02:24:26Z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F4658AE213AC4CEFB7F94BEBFE23B436</vt:lpwstr>
  </property>
</Properties>
</file>