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highlight w:val="none"/>
        </w:rPr>
      </w:pPr>
      <w:bookmarkStart w:id="0" w:name="_Toc89999792"/>
      <w:r>
        <w:rPr>
          <w:rFonts w:hint="eastAsia" w:eastAsia="方正小标宋简体" w:cs="方正小标宋简体"/>
          <w:snapToGrid w:val="0"/>
          <w:color w:val="auto"/>
          <w:sz w:val="44"/>
          <w:szCs w:val="44"/>
          <w:highlight w:val="none"/>
          <w:lang w:val="en-US" w:eastAsia="zh-CN"/>
        </w:rPr>
        <w:t>柳州市三江侗族自治县</w:t>
      </w:r>
      <w:r>
        <w:rPr>
          <w:rFonts w:hint="eastAsia" w:ascii="Arial" w:hAnsi="Arial" w:eastAsia="方正小标宋简体" w:cs="Arial"/>
          <w:snapToGrid w:val="0"/>
          <w:color w:val="auto"/>
          <w:sz w:val="44"/>
          <w:szCs w:val="44"/>
          <w:highlight w:val="none"/>
          <w:lang w:val="en-US" w:eastAsia="zh-CN"/>
        </w:rPr>
        <w:t>古宜镇</w:t>
      </w:r>
      <w:r>
        <w:rPr>
          <w:rFonts w:hint="eastAsia" w:ascii="Times New Roman" w:hAnsi="Times New Roman" w:eastAsia="方正小标宋简体" w:cs="方正小标宋简体"/>
          <w:snapToGrid w:val="0"/>
          <w:color w:val="auto"/>
          <w:sz w:val="44"/>
          <w:szCs w:val="44"/>
          <w:highlight w:val="none"/>
        </w:rPr>
        <w:t>权责清单</w:t>
      </w:r>
      <w:bookmarkEnd w:id="0"/>
    </w:p>
    <w:tbl>
      <w:tblPr>
        <w:tblStyle w:val="9"/>
        <w:tblW w:w="0" w:type="auto"/>
        <w:tblInd w:w="0" w:type="dxa"/>
        <w:tblLayout w:type="fixed"/>
        <w:tblCellMar>
          <w:top w:w="28" w:type="dxa"/>
          <w:left w:w="28" w:type="dxa"/>
          <w:bottom w:w="28" w:type="dxa"/>
          <w:right w:w="28" w:type="dxa"/>
        </w:tblCellMar>
      </w:tblPr>
      <w:tblGrid>
        <w:gridCol w:w="527"/>
        <w:gridCol w:w="457"/>
        <w:gridCol w:w="480"/>
        <w:gridCol w:w="600"/>
        <w:gridCol w:w="479"/>
        <w:gridCol w:w="721"/>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权力</w:t>
            </w:r>
          </w:p>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highlight w:val="none"/>
              </w:rPr>
            </w:pPr>
            <w:r>
              <w:rPr>
                <w:rFonts w:hint="eastAsia" w:ascii="Times New Roman" w:hAnsi="Times New Roman" w:eastAsia="黑体" w:cs="黑体"/>
                <w:snapToGrid w:val="0"/>
                <w:color w:val="000000"/>
                <w:sz w:val="20"/>
                <w:szCs w:val="20"/>
                <w:highlight w:val="none"/>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项目名称</w:t>
            </w:r>
          </w:p>
        </w:tc>
        <w:tc>
          <w:tcPr>
            <w:tcW w:w="6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子项名称</w:t>
            </w: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lang w:eastAsia="zh-CN"/>
              </w:rPr>
            </w:pPr>
            <w:r>
              <w:rPr>
                <w:rFonts w:hint="eastAsia" w:ascii="Times New Roman" w:hAnsi="Times New Roman" w:eastAsia="黑体" w:cs="黑体"/>
                <w:snapToGrid w:val="0"/>
                <w:color w:val="000000"/>
                <w:sz w:val="20"/>
                <w:szCs w:val="20"/>
                <w:highlight w:val="none"/>
              </w:rPr>
              <w:t>实施</w:t>
            </w:r>
            <w:r>
              <w:rPr>
                <w:rFonts w:hint="eastAsia" w:eastAsia="黑体" w:cs="黑体"/>
                <w:snapToGrid w:val="0"/>
                <w:color w:val="000000"/>
                <w:sz w:val="20"/>
                <w:szCs w:val="20"/>
                <w:highlight w:val="none"/>
                <w:lang w:val="en-US" w:eastAsia="zh-CN"/>
              </w:rPr>
              <w:t>主体</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default" w:ascii="Times New Roman" w:hAnsi="Times New Roman" w:eastAsia="黑体" w:cs="黑体"/>
                <w:snapToGrid w:val="0"/>
                <w:color w:val="000000"/>
                <w:sz w:val="20"/>
                <w:szCs w:val="20"/>
                <w:highlight w:val="none"/>
                <w:lang w:val="en-US" w:eastAsia="zh-CN"/>
              </w:rPr>
            </w:pPr>
            <w:r>
              <w:rPr>
                <w:rFonts w:hint="eastAsia" w:eastAsia="黑体" w:cs="黑体"/>
                <w:snapToGrid w:val="0"/>
                <w:color w:val="000000"/>
                <w:sz w:val="20"/>
                <w:szCs w:val="20"/>
                <w:highlight w:val="none"/>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设定依据</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责任事项</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highlight w:val="none"/>
              </w:rPr>
            </w:pPr>
            <w:r>
              <w:rPr>
                <w:rFonts w:hint="eastAsia" w:ascii="Times New Roman" w:hAnsi="Times New Roman" w:eastAsia="黑体" w:cs="黑体"/>
                <w:snapToGrid w:val="0"/>
                <w:color w:val="000000"/>
                <w:sz w:val="20"/>
                <w:szCs w:val="20"/>
                <w:highlight w:val="none"/>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highlight w:val="none"/>
              </w:rPr>
            </w:pPr>
            <w:r>
              <w:rPr>
                <w:rFonts w:hint="eastAsia" w:ascii="Times New Roman" w:hAnsi="Times New Roman" w:eastAsia="仿宋_GB2312" w:cs="仿宋_GB2312"/>
                <w:snapToGrid w:val="0"/>
                <w:color w:val="000000"/>
                <w:sz w:val="20"/>
                <w:szCs w:val="20"/>
                <w:highlight w:val="none"/>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highlight w:val="none"/>
              </w:rPr>
            </w:pPr>
            <w:r>
              <w:rPr>
                <w:rFonts w:hint="eastAsia" w:ascii="Times New Roman" w:hAnsi="Times New Roman" w:eastAsia="仿宋_GB2312" w:cs="仿宋_GB2312"/>
                <w:snapToGrid w:val="0"/>
                <w:color w:val="000000"/>
                <w:sz w:val="20"/>
                <w:szCs w:val="20"/>
                <w:highlight w:val="none"/>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highlight w:val="none"/>
              </w:rPr>
            </w:pPr>
            <w:r>
              <w:rPr>
                <w:rFonts w:hint="eastAsia" w:ascii="Times New Roman" w:hAnsi="Times New Roman" w:eastAsia="仿宋_GB2312" w:cs="仿宋_GB2312"/>
                <w:snapToGrid w:val="0"/>
                <w:color w:val="000000"/>
                <w:sz w:val="20"/>
                <w:szCs w:val="20"/>
                <w:highlight w:val="none"/>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highlight w:val="none"/>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highlight w:val="none"/>
                <w:lang w:eastAsia="zh-CN"/>
              </w:rPr>
            </w:pPr>
            <w:r>
              <w:rPr>
                <w:rFonts w:hint="eastAsia" w:ascii="仿宋_GB2312" w:hAnsi="仿宋_GB2312" w:eastAsia="仿宋_GB2312" w:cs="仿宋_GB2312"/>
                <w:snapToGrid w:val="0"/>
                <w:sz w:val="20"/>
                <w:szCs w:val="20"/>
                <w:highlight w:val="none"/>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行政许可</w:t>
            </w: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适龄儿童、少年因身体状况需要延缓入学或者休学审批</w:t>
            </w:r>
          </w:p>
        </w:tc>
        <w:tc>
          <w:tcPr>
            <w:tcW w:w="6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　</w:t>
            </w: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highlight w:val="none"/>
                <w:lang w:val="en-US" w:eastAsia="zh-CN"/>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0" w:firstLineChars="0"/>
              <w:jc w:val="center"/>
              <w:rPr>
                <w:rFonts w:hint="eastAsia" w:ascii="仿宋_GB2312" w:hAnsi="仿宋_GB2312" w:eastAsia="仿宋_GB2312" w:cs="仿宋_GB2312"/>
                <w:snapToGrid w:val="0"/>
                <w:sz w:val="20"/>
                <w:szCs w:val="20"/>
                <w:highlight w:val="none"/>
                <w:lang w:val="en-US" w:eastAsia="zh-CN"/>
              </w:rPr>
            </w:pPr>
            <w:r>
              <w:rPr>
                <w:rFonts w:hint="eastAsia" w:ascii="仿宋_GB2312" w:hAnsi="仿宋_GB2312" w:eastAsia="仿宋_GB2312" w:cs="仿宋_GB2312"/>
                <w:snapToGrid w:val="0"/>
                <w:sz w:val="20"/>
                <w:szCs w:val="20"/>
                <w:highlight w:val="none"/>
                <w:lang w:val="en-US" w:eastAsia="zh-CN"/>
              </w:rPr>
              <w:t>社会经济发展办公室</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1.【法律】《中华人民共和国义务教育法》第十一</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 xml:space="preserve">   适龄儿童、少年因身体状况需要延缓入学或者休学的，其父母或者其他法定监护人应当提出申请，由当地乡镇人民政府或者县级人民政府教育行政部门批准。</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2.【规范性文件】《广西壮族自治区义务教育学籍管理实施办法》（桂教规范〔2013〕2号）第七</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1.受理阶段责任：在办公场所公示依法应当提交的材料；一次性告知补正材料；依法受理或不予受理（不予受理应当告知理由）。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2.审查阶段责任：依据相关法律法规对申请材料进行审查。必要时应当告知并听取各方当事人的意见。</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3.决定阶段责任：作出许可决定、审核意见或不予准许决定，法定告知（不予核准的书面告知并说明理由）。</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4.送达阶段责任：制发许可决定书，按规定抄送有关部门、信息公开。</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5.事后监管阶段责任：建立行政许可档案，加强监督检查。</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1.【部门规章】《实施教育行政许可若干规定》（2005年教育部令第22号）第六</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第十一</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2.【部门规章】《实施教育行政许可若干规定》（2005年教育部令第22号）第十二</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3.【部门规章】《实施教育行政许可若干规定》（2005年教育部令第22号）第十八</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除法律、法规授权组织外，实施行政许可，应当以教育行政部门名义作出。有关行政许可的文书、证件，应当以实施行政许可的教育行政部门名义签发并对外发布。</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第十九</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4.【部门规章】《实施教育行政许可若干规定》（2005年教育部令第22号）第二十</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r>
              <w:rPr>
                <w:rFonts w:hint="eastAsia" w:ascii="仿宋_GB2312" w:hAnsi="仿宋_GB2312" w:eastAsia="仿宋_GB2312" w:cs="仿宋_GB2312"/>
                <w:snapToGrid w:val="0"/>
                <w:sz w:val="20"/>
                <w:szCs w:val="20"/>
                <w:highlight w:val="none"/>
              </w:rPr>
              <w:t>5.【部门规章】《实施教育行政许可若干规定》（2005年教育部令第22号）第二十三</w:t>
            </w:r>
            <w:r>
              <w:rPr>
                <w:rFonts w:hint="eastAsia" w:ascii="仿宋_GB2312" w:hAnsi="仿宋_GB2312" w:eastAsia="仿宋_GB2312" w:cs="仿宋_GB2312"/>
                <w:snapToGrid w:val="0"/>
                <w:sz w:val="20"/>
                <w:szCs w:val="20"/>
                <w:highlight w:val="none"/>
                <w:lang w:eastAsia="zh-CN"/>
              </w:rPr>
              <w:t>条：</w:t>
            </w:r>
            <w:r>
              <w:rPr>
                <w:rFonts w:hint="eastAsia" w:ascii="仿宋_GB2312" w:hAnsi="仿宋_GB2312" w:eastAsia="仿宋_GB2312" w:cs="仿宋_GB2312"/>
                <w:snapToGrid w:val="0"/>
                <w:sz w:val="20"/>
                <w:szCs w:val="20"/>
                <w:highlight w:val="none"/>
              </w:rPr>
              <w:t>教育行政部门应当按照行政许可法的规定，建立检查、备案、档案管理等制度。对被许可人从事行政许可事项的活动进行监督检查时，应当制作笔录，笔录归档后，公众有权查阅。</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p>
          <w:p>
            <w:pPr>
              <w:widowControl/>
              <w:adjustRightInd w:val="0"/>
              <w:snapToGrid w:val="0"/>
              <w:spacing w:line="300" w:lineRule="exact"/>
              <w:rPr>
                <w:rFonts w:hint="eastAsia" w:ascii="仿宋_GB2312" w:hAnsi="仿宋_GB2312" w:eastAsia="仿宋_GB2312" w:cs="仿宋_GB2312"/>
                <w:snapToGrid w:val="0"/>
                <w:sz w:val="20"/>
                <w:szCs w:val="20"/>
                <w:highlight w:val="none"/>
              </w:rPr>
            </w:pP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p>
        </w:tc>
        <w:tc>
          <w:tcPr>
            <w:tcW w:w="2969"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color w:val="auto"/>
                <w:sz w:val="20"/>
                <w:szCs w:val="20"/>
                <w:highlight w:val="none"/>
              </w:rPr>
              <w:t xml:space="preserve"> </w:t>
            </w: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bookmarkStart w:id="1" w:name="_GoBack"/>
            <w:bookmarkEnd w:id="1"/>
            <w:r>
              <w:rPr>
                <w:rFonts w:hint="eastAsia" w:ascii="仿宋_GB2312" w:hAnsi="仿宋_GB2312" w:eastAsia="仿宋_GB2312" w:cs="仿宋_GB2312"/>
                <w:i w:val="0"/>
                <w:iCs w:val="0"/>
                <w:caps w:val="0"/>
                <w:color w:val="auto"/>
                <w:spacing w:val="0"/>
                <w:sz w:val="20"/>
                <w:szCs w:val="20"/>
                <w:highlight w:val="none"/>
                <w:shd w:val="clear" w:fill="FFFFFF"/>
              </w:rPr>
              <w:t> 1.违反法定程序实施行政许可的；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  2.索取或者收受他人财物或者谋取其他利益的；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  3.对不符合法定条件的申请人准予行政许可或者超越法定职权作出准予行政许可决定的；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  4.对符合法定条件的申请人不予行政许可或者不在法定期限内作出准予行政许可决定的；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  5.擅自收费或者不按照法定项目和标准收费，截留、挪用、私分或者变相私分实施行政许可依法收取的费用的；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  6.行政机关不依法履行监督职责或者监督不力的；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  7.其他违反法律法规规章文件规定的行为。</w:t>
            </w:r>
          </w:p>
          <w:p>
            <w:pPr>
              <w:widowControl/>
              <w:numPr>
                <w:ilvl w:val="0"/>
                <w:numId w:val="0"/>
              </w:numPr>
              <w:adjustRightInd w:val="0"/>
              <w:snapToGrid w:val="0"/>
              <w:spacing w:line="300" w:lineRule="exact"/>
              <w:ind w:firstLine="400" w:firstLineChars="200"/>
              <w:rPr>
                <w:rFonts w:hint="eastAsia" w:ascii="仿宋_GB2312" w:hAnsi="仿宋_GB2312" w:eastAsia="仿宋_GB2312" w:cs="仿宋_GB2312"/>
                <w:snapToGrid w:val="0"/>
                <w:color w:val="auto"/>
                <w:sz w:val="20"/>
                <w:szCs w:val="20"/>
                <w:highlight w:val="none"/>
              </w:rPr>
            </w:pPr>
          </w:p>
        </w:tc>
        <w:tc>
          <w:tcPr>
            <w:tcW w:w="4161"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snapToGrid w:val="0"/>
                <w:color w:val="auto"/>
                <w:sz w:val="20"/>
                <w:szCs w:val="20"/>
                <w:highlight w:val="none"/>
              </w:rPr>
              <w:t xml:space="preserve"> </w:t>
            </w:r>
            <w:r>
              <w:rPr>
                <w:rFonts w:hint="eastAsia" w:ascii="仿宋_GB2312" w:hAnsi="仿宋_GB2312" w:eastAsia="仿宋_GB2312" w:cs="仿宋_GB2312"/>
                <w:i w:val="0"/>
                <w:iCs w:val="0"/>
                <w:caps w:val="0"/>
                <w:color w:val="auto"/>
                <w:spacing w:val="0"/>
                <w:sz w:val="20"/>
                <w:szCs w:val="20"/>
                <w:highlight w:val="none"/>
                <w:shd w:val="clear" w:fill="FFFFFF"/>
              </w:rPr>
              <w:t>1.【地方政府规章】《广西壮族自治区实施行政许可若干规定》（2004年广西壮族自治区人民政府令第9号）第六十条　许可机关及其工作人员有下列行为之一的，有关机关应当责令改正，对直接负责的主管人员和其他直接责任人员(以下称许可过错责任人)给予警告；情节严重，造成严重后果的，给予记过或者记大过的行政处分：(一)没有法定依据擅自实施行政许可的；(二)不确定一个机构或者不通过受理机构统一受理行政许可申请、统一送达行政许可决定的；(三)不在受理场所公示依法应当公示的行政许可事项的；(四)在受理、审查、决定行政许可过程中，未向申请人、利害关系人履行法定告知义务的；(五)不一次性告知申请人必须补正的全部申请材料的：(六)未依法说明不受理申请或者不予批准的理由的；(七)未在法定期限内作出行政许可决定的；(八)依法应当举行听证而不举行听证的；(九)应当向公众公开而不公开行政许可决定、监督检查情况和处理结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   2.【地方政府规章】《广西壮族自治区实施行政许可若干规定》（2004年广西壮族自治区人民政府令第9号）第六十一条第一项　许可机关及其工作人员有下列行为之一的，有关机关应当责令改正，对许可过错责任人给予记过或者记大过的行政处分；情节严重的，给予降级或者撤职的行政处分：(一)向申请人提出不正当要求的。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    3.【地方政府规章】《广西壮族自治区实施行政许可若干规定》（2004年广西壮族自治区人民政府令第9号）第六十二条第一项　许可机关及其工作人员有下列行为之一的，有关机关应当责令改正，对许可过错责任人给予记大过或者降级的行政处分；情节严重的，给予撤职直至开除的行政处分：(一)对不符合法定条件的申请准予行政许可或者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    4.【地方政府规章】《广西壮族自治区实施行政许可若干规定》（2004年广西壮族自治区人民政府令第9号）第六十一条第三项　许可机关及其工作人员有下列行为之一的，有关机关应当责令改正，对许可过错责任人给予记过或者记大过的行政处分；情节严重的，给予降级或者撤职的行政处分：(三)无正当理由对符合法定条件的申请不予受理、不予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    5.【地方政府规章】《广西壮族自治区实施行政许可若干规定》（2004年广西壮族自治区人民政府令第9号）第六十一条第二项　许可机关及其工作人员有下列行为之一的，有关机关应当责令改正，对许可过错责任人给予记过或者记大过的行政处分；情节严重的，给予降级或者撤职的行政处分：(二)没有法律、行政法规作为依据向被许可人收费或者依法收费但未通过本级人民政府财政部门指定的金融机构统一收取费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    6.【地方政府规章】《广西壮族自治区实施行政许可若干规定》（2004年广西壮族自治区人民政府令第9号）第六十二条第三项　许可机关及其工作人员有下列行为之一的，有关机关应当责令改正，对许可过错责任人给予记大过或者降级的行政处分；情节严重的，给予撤职直至开除的行政处分：(三)不依法履行行政许可监督职责或者监督不力造成严重后果的。</w:t>
            </w:r>
          </w:p>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rPr>
            </w:pP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highlight w:val="none"/>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99"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行政许可</w:t>
            </w: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乡村建设规划许可</w:t>
            </w:r>
          </w:p>
        </w:tc>
        <w:tc>
          <w:tcPr>
            <w:tcW w:w="6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0" w:firstLineChars="0"/>
              <w:rPr>
                <w:rFonts w:hint="eastAsia" w:ascii="仿宋_GB2312" w:hAnsi="仿宋_GB2312" w:eastAsia="仿宋_GB2312" w:cs="仿宋_GB2312"/>
                <w:snapToGrid w:val="0"/>
                <w:color w:val="000000"/>
                <w:sz w:val="20"/>
                <w:szCs w:val="20"/>
                <w:highlight w:val="none"/>
                <w:lang w:val="en-US" w:eastAsia="zh-CN"/>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2.【地方性法规】</w:t>
            </w:r>
            <w:r>
              <w:rPr>
                <w:rFonts w:hint="eastAsia" w:ascii="仿宋_GB2312" w:hAnsi="仿宋_GB2312" w:eastAsia="仿宋_GB2312" w:cs="仿宋_GB2312"/>
                <w:snapToGrid w:val="0"/>
                <w:color w:val="000000"/>
                <w:sz w:val="20"/>
                <w:szCs w:val="20"/>
                <w:highlight w:val="none"/>
                <w:lang w:eastAsia="zh-CN"/>
              </w:rPr>
              <w:t>《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w:t>
            </w:r>
            <w:r>
              <w:rPr>
                <w:rFonts w:hint="eastAsia" w:ascii="仿宋_GB2312" w:hAnsi="仿宋_GB2312" w:eastAsia="仿宋_GB2312" w:cs="仿宋_GB2312"/>
                <w:snapToGrid w:val="0"/>
                <w:color w:val="000000"/>
                <w:sz w:val="20"/>
                <w:szCs w:val="20"/>
                <w:highlight w:val="none"/>
              </w:rPr>
              <w:t>第三十七</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第三十八</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村民在乡、村庄规划区范围内进行住宅建设的，应当办理乡村建设规划许可证。</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第四十一</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第二十五条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县级人民政府城乡规划主管部门可以委托乡（镇）人民政府核发乡村建设规划许可证。</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在乡、村庄规划区内进行本条第一款规定的建设，应当在取得乡村建设规划许可证后，依法办理用地审批手续。</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第二十六条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highlight w:val="none"/>
                <w:lang w:val="en-US" w:eastAsia="zh-CN"/>
              </w:rPr>
            </w:pP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1.受理责任：公示应当提交的材料；一次性告知补正材料；依法受理或不予受理（不予受理应当告知理由）。</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2.审查责任：按照政策规定对书面材料进行审查，提出是否同意审批的初步意见，告知申请人、利害相关人享有听证权利；涉及公共利益的重大许可，向社会公告，并举行听证。</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3.决定责任：作出行政许可或者不予行政许可决定,法定告知（不予许可的应当书面告知理由）。</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4．送达责任：准予许可的制发送达审批决定。</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5．事后监管环节责任：分管领导对审批后的相关事宜实施监督管理</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1.【法律】《中华人民共和国行政许可法》第三十</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w:t>
            </w:r>
            <w:r>
              <w:rPr>
                <w:rFonts w:hint="eastAsia" w:ascii="仿宋_GB2312" w:hAnsi="仿宋_GB2312" w:eastAsia="仿宋_GB2312" w:cs="仿宋_GB2312"/>
                <w:snapToGrid w:val="0"/>
                <w:color w:val="000000"/>
                <w:sz w:val="20"/>
                <w:szCs w:val="20"/>
                <w:highlight w:val="none"/>
                <w:lang w:eastAsia="zh-CN"/>
              </w:rPr>
              <w:t>可靠的信息。</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w:t>
            </w:r>
            <w:r>
              <w:rPr>
                <w:rFonts w:hint="eastAsia" w:ascii="仿宋_GB2312" w:hAnsi="仿宋_GB2312" w:eastAsia="仿宋_GB2312" w:cs="仿宋_GB2312"/>
                <w:snapToGrid w:val="0"/>
                <w:color w:val="000000"/>
                <w:sz w:val="20"/>
                <w:szCs w:val="20"/>
                <w:highlight w:val="none"/>
                <w:lang w:eastAsia="zh-CN"/>
              </w:rPr>
              <w:t>—1.</w:t>
            </w:r>
            <w:r>
              <w:rPr>
                <w:rFonts w:hint="eastAsia" w:ascii="仿宋_GB2312" w:hAnsi="仿宋_GB2312" w:eastAsia="仿宋_GB2312" w:cs="仿宋_GB2312"/>
                <w:snapToGrid w:val="0"/>
                <w:color w:val="000000"/>
                <w:sz w:val="20"/>
                <w:szCs w:val="20"/>
                <w:highlight w:val="none"/>
              </w:rPr>
              <w:t>【法律】《中华人民共和国行政许可法》第三十二</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w:t>
            </w:r>
            <w:r>
              <w:rPr>
                <w:rFonts w:hint="eastAsia" w:ascii="仿宋_GB2312" w:hAnsi="仿宋_GB2312" w:eastAsia="仿宋_GB2312" w:cs="仿宋_GB2312"/>
                <w:snapToGrid w:val="0"/>
                <w:color w:val="000000"/>
                <w:sz w:val="20"/>
                <w:szCs w:val="20"/>
                <w:highlight w:val="none"/>
                <w:lang w:eastAsia="zh-CN"/>
              </w:rPr>
              <w:t>理行政许可申请。</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w:t>
            </w:r>
            <w:r>
              <w:rPr>
                <w:rFonts w:hint="eastAsia" w:ascii="仿宋_GB2312" w:hAnsi="仿宋_GB2312" w:eastAsia="仿宋_GB2312" w:cs="仿宋_GB2312"/>
                <w:snapToGrid w:val="0"/>
                <w:color w:val="000000"/>
                <w:sz w:val="20"/>
                <w:szCs w:val="20"/>
                <w:highlight w:val="none"/>
                <w:lang w:eastAsia="zh-CN"/>
              </w:rPr>
              <w:t>—2.</w:t>
            </w:r>
            <w:r>
              <w:rPr>
                <w:rFonts w:hint="eastAsia" w:ascii="仿宋_GB2312" w:hAnsi="仿宋_GB2312" w:eastAsia="仿宋_GB2312" w:cs="仿宋_GB2312"/>
                <w:snapToGrid w:val="0"/>
                <w:color w:val="000000"/>
                <w:sz w:val="20"/>
                <w:szCs w:val="20"/>
                <w:highlight w:val="none"/>
              </w:rPr>
              <w:t>【法律】《中华人民共和国行政许可法》第三十四</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w:t>
            </w:r>
            <w:r>
              <w:rPr>
                <w:rFonts w:hint="eastAsia" w:ascii="仿宋_GB2312" w:hAnsi="仿宋_GB2312" w:eastAsia="仿宋_GB2312" w:cs="仿宋_GB2312"/>
                <w:snapToGrid w:val="0"/>
                <w:color w:val="000000"/>
                <w:sz w:val="20"/>
                <w:szCs w:val="20"/>
                <w:highlight w:val="none"/>
                <w:lang w:eastAsia="zh-CN"/>
              </w:rPr>
              <w:t>派两名以上工作人员进行核查。</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2</w:t>
            </w:r>
            <w:r>
              <w:rPr>
                <w:rFonts w:hint="eastAsia" w:ascii="仿宋_GB2312" w:hAnsi="仿宋_GB2312" w:eastAsia="仿宋_GB2312" w:cs="仿宋_GB2312"/>
                <w:snapToGrid w:val="0"/>
                <w:color w:val="000000"/>
                <w:sz w:val="20"/>
                <w:szCs w:val="20"/>
                <w:highlight w:val="none"/>
                <w:lang w:eastAsia="zh-CN"/>
              </w:rPr>
              <w:t>—3.</w:t>
            </w:r>
            <w:r>
              <w:rPr>
                <w:rFonts w:hint="eastAsia" w:ascii="仿宋_GB2312" w:hAnsi="仿宋_GB2312" w:eastAsia="仿宋_GB2312" w:cs="仿宋_GB2312"/>
                <w:snapToGrid w:val="0"/>
                <w:color w:val="000000"/>
                <w:sz w:val="20"/>
                <w:szCs w:val="20"/>
                <w:highlight w:val="none"/>
              </w:rPr>
              <w:t>【法律】《中华人民共和国行政许可法》</w:t>
            </w:r>
            <w:r>
              <w:rPr>
                <w:rFonts w:hint="eastAsia" w:ascii="仿宋_GB2312" w:hAnsi="仿宋_GB2312" w:eastAsia="仿宋_GB2312" w:cs="仿宋_GB2312"/>
                <w:snapToGrid w:val="0"/>
                <w:color w:val="000000"/>
                <w:sz w:val="20"/>
                <w:szCs w:val="20"/>
                <w:highlight w:val="none"/>
                <w:lang w:eastAsia="zh-CN"/>
              </w:rPr>
              <w:t>第四十六条：法律、法规、</w:t>
            </w:r>
            <w:r>
              <w:rPr>
                <w:rFonts w:hint="eastAsia" w:ascii="仿宋_GB2312" w:hAnsi="仿宋_GB2312" w:eastAsia="仿宋_GB2312" w:cs="仿宋_GB2312"/>
                <w:snapToGrid w:val="0"/>
                <w:color w:val="000000"/>
                <w:sz w:val="20"/>
                <w:szCs w:val="20"/>
                <w:highlight w:val="none"/>
              </w:rPr>
              <w:t>规章规定实施行政许可应当听证的事项，或者行政机关认为需要听证的其他涉及公共利益的重大行政许可事项，行政机关应当向社会公告，并举行听证。</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w:t>
            </w:r>
            <w:r>
              <w:rPr>
                <w:rFonts w:hint="eastAsia" w:ascii="仿宋_GB2312" w:hAnsi="仿宋_GB2312" w:eastAsia="仿宋_GB2312" w:cs="仿宋_GB2312"/>
                <w:snapToGrid w:val="0"/>
                <w:color w:val="000000"/>
                <w:sz w:val="20"/>
                <w:szCs w:val="20"/>
                <w:highlight w:val="none"/>
                <w:lang w:eastAsia="zh-CN"/>
              </w:rPr>
              <w:t>—1.</w:t>
            </w:r>
            <w:r>
              <w:rPr>
                <w:rFonts w:hint="eastAsia" w:ascii="仿宋_GB2312" w:hAnsi="仿宋_GB2312" w:eastAsia="仿宋_GB2312" w:cs="仿宋_GB2312"/>
                <w:snapToGrid w:val="0"/>
                <w:color w:val="000000"/>
                <w:sz w:val="20"/>
                <w:szCs w:val="20"/>
                <w:highlight w:val="none"/>
              </w:rPr>
              <w:t>【法律】《中华人民共和国行政许可法》第三十七</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行政机关对行政许可申请进行审.查后，除了当场作出行政许可决定的，应在法定期限内</w:t>
            </w:r>
            <w:r>
              <w:rPr>
                <w:rFonts w:hint="eastAsia" w:ascii="仿宋_GB2312" w:hAnsi="仿宋_GB2312" w:eastAsia="仿宋_GB2312" w:cs="仿宋_GB2312"/>
                <w:snapToGrid w:val="0"/>
                <w:color w:val="000000"/>
                <w:sz w:val="20"/>
                <w:szCs w:val="20"/>
                <w:highlight w:val="none"/>
                <w:lang w:eastAsia="zh-CN"/>
              </w:rPr>
              <w:t>按照规定程序作出行政许可决定。</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3</w:t>
            </w:r>
            <w:r>
              <w:rPr>
                <w:rFonts w:hint="eastAsia" w:ascii="仿宋_GB2312" w:hAnsi="仿宋_GB2312" w:eastAsia="仿宋_GB2312" w:cs="仿宋_GB2312"/>
                <w:snapToGrid w:val="0"/>
                <w:color w:val="000000"/>
                <w:sz w:val="20"/>
                <w:szCs w:val="20"/>
                <w:highlight w:val="none"/>
                <w:lang w:eastAsia="zh-CN"/>
              </w:rPr>
              <w:t>—2.</w:t>
            </w:r>
            <w:r>
              <w:rPr>
                <w:rFonts w:hint="eastAsia" w:ascii="仿宋_GB2312" w:hAnsi="仿宋_GB2312" w:eastAsia="仿宋_GB2312" w:cs="仿宋_GB2312"/>
                <w:snapToGrid w:val="0"/>
                <w:color w:val="000000"/>
                <w:sz w:val="20"/>
                <w:szCs w:val="20"/>
                <w:highlight w:val="none"/>
              </w:rPr>
              <w:t>【法律】《中华人民共和国行政许可法》第三十八</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w:t>
            </w:r>
            <w:r>
              <w:rPr>
                <w:rFonts w:hint="eastAsia" w:ascii="仿宋_GB2312" w:hAnsi="仿宋_GB2312" w:eastAsia="仿宋_GB2312" w:cs="仿宋_GB2312"/>
                <w:snapToGrid w:val="0"/>
                <w:color w:val="000000"/>
                <w:sz w:val="20"/>
                <w:szCs w:val="20"/>
                <w:highlight w:val="none"/>
                <w:lang w:eastAsia="zh-CN"/>
              </w:rPr>
              <w:t>—1.</w:t>
            </w:r>
            <w:r>
              <w:rPr>
                <w:rFonts w:hint="eastAsia" w:ascii="仿宋_GB2312" w:hAnsi="仿宋_GB2312" w:eastAsia="仿宋_GB2312" w:cs="仿宋_GB2312"/>
                <w:snapToGrid w:val="0"/>
                <w:color w:val="000000"/>
                <w:sz w:val="20"/>
                <w:szCs w:val="20"/>
                <w:highlight w:val="none"/>
              </w:rPr>
              <w:t>【法律】《中华人民共和国行政许可法》第四十</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行政机关作出的准予行政许可决定，应当予以公开，</w:t>
            </w:r>
            <w:r>
              <w:rPr>
                <w:rFonts w:hint="eastAsia" w:ascii="仿宋_GB2312" w:hAnsi="仿宋_GB2312" w:eastAsia="仿宋_GB2312" w:cs="仿宋_GB2312"/>
                <w:snapToGrid w:val="0"/>
                <w:color w:val="000000"/>
                <w:sz w:val="20"/>
                <w:szCs w:val="20"/>
                <w:highlight w:val="none"/>
                <w:lang w:eastAsia="zh-CN"/>
              </w:rPr>
              <w:t>公众有权查阅。</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4-2【法律】《中华人民共和国行政许可法》第四十四</w:t>
            </w:r>
            <w:r>
              <w:rPr>
                <w:rFonts w:hint="eastAsia" w:ascii="仿宋_GB2312" w:hAnsi="仿宋_GB2312" w:eastAsia="仿宋_GB2312" w:cs="仿宋_GB2312"/>
                <w:snapToGrid w:val="0"/>
                <w:color w:val="000000"/>
                <w:sz w:val="20"/>
                <w:szCs w:val="20"/>
                <w:highlight w:val="none"/>
                <w:lang w:eastAsia="zh-CN"/>
              </w:rPr>
              <w:t>条：</w:t>
            </w:r>
            <w:r>
              <w:rPr>
                <w:rFonts w:hint="eastAsia" w:ascii="仿宋_GB2312" w:hAnsi="仿宋_GB2312" w:eastAsia="仿宋_GB2312" w:cs="仿宋_GB2312"/>
                <w:snapToGrid w:val="0"/>
                <w:color w:val="000000"/>
                <w:sz w:val="20"/>
                <w:szCs w:val="20"/>
                <w:highlight w:val="none"/>
              </w:rPr>
              <w:t>行政机关作出准予行政许可的决定，应当自作出决定之日起十日内向申请人颁发、送达行政许可证件、或者加贴标签、加盖检验、检测、</w:t>
            </w:r>
            <w:r>
              <w:rPr>
                <w:rFonts w:hint="eastAsia" w:ascii="仿宋_GB2312" w:hAnsi="仿宋_GB2312" w:eastAsia="仿宋_GB2312" w:cs="仿宋_GB2312"/>
                <w:snapToGrid w:val="0"/>
                <w:color w:val="000000"/>
                <w:sz w:val="20"/>
                <w:szCs w:val="20"/>
                <w:highlight w:val="none"/>
                <w:lang w:eastAsia="zh-CN"/>
              </w:rPr>
              <w:t>检疫印章。</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5．【法律】《中华人民共和国行政许可法》</w:t>
            </w:r>
            <w:r>
              <w:rPr>
                <w:rFonts w:hint="eastAsia" w:ascii="仿宋_GB2312" w:hAnsi="仿宋_GB2312" w:eastAsia="仿宋_GB2312" w:cs="仿宋_GB2312"/>
                <w:snapToGrid w:val="0"/>
                <w:color w:val="000000"/>
                <w:sz w:val="20"/>
                <w:szCs w:val="20"/>
                <w:highlight w:val="none"/>
                <w:lang w:eastAsia="zh-CN"/>
              </w:rPr>
              <w:t>第六十一条：</w:t>
            </w:r>
            <w:r>
              <w:rPr>
                <w:rFonts w:hint="eastAsia" w:ascii="仿宋_GB2312" w:hAnsi="仿宋_GB2312" w:eastAsia="仿宋_GB2312" w:cs="仿宋_GB2312"/>
                <w:snapToGrid w:val="0"/>
                <w:color w:val="000000"/>
                <w:sz w:val="20"/>
                <w:szCs w:val="20"/>
                <w:highlight w:val="none"/>
              </w:rPr>
              <w:t>行政机关应当建立健全监督制度，通过核查反映被许可人从事行政许可事项活动情况的有关材料，</w:t>
            </w:r>
            <w:r>
              <w:rPr>
                <w:rFonts w:hint="eastAsia" w:ascii="仿宋_GB2312" w:hAnsi="仿宋_GB2312" w:eastAsia="仿宋_GB2312" w:cs="仿宋_GB2312"/>
                <w:snapToGrid w:val="0"/>
                <w:color w:val="000000"/>
                <w:sz w:val="20"/>
                <w:szCs w:val="20"/>
                <w:highlight w:val="none"/>
                <w:lang w:eastAsia="zh-CN"/>
              </w:rPr>
              <w:t>履行监督责任。</w:t>
            </w:r>
          </w:p>
        </w:tc>
        <w:tc>
          <w:tcPr>
            <w:tcW w:w="296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因不履行或不正确履行行政职责，有下列情形的，行政机关及相关工作人员应承担相应责任：</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1.违反法定程序实施行政许可的；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2.索取或者收受他人财物或者谋取其他利益的；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3.对不符合法定条件的申请人准予行政许可或者超越法定职权作出准予行政许可决定的；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4.对符合法定条件的申请人不予行政许可或者不在法定期限内作出准予行政许可决定的；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5.擅自收费或者不按照法定项目和标准收费，截留、挪用、私分或者变相私分实施行政许可依法收取的费用的；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6.行政机关不依法履行监督职责或者监督不力的；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7.其他违反法律法规规章文件规定的行为。</w:t>
            </w:r>
          </w:p>
        </w:tc>
        <w:tc>
          <w:tcPr>
            <w:tcW w:w="416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1.【法律】《中华人民共和国行政许可法》（根据2019年4月23日第十三届全国人民代表大会常务委员会第十次会议《关于修改&lt;中华人民共和国建筑法&gt;等八部法律的决定》修正）第七十二条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六）以转让技术作为取得行政许可的条件，或者在实施行政许可的过程中直接或者间接地要求转让技术的；（七）未依法说明不受理行政许可申请或者不予行政许可的理由的；（八）依法应当举行听证而不举行听证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2.【法律】《中华人民共和国行政许可法》（根据2019年4月23日第十三届全国人民代表大会常务委员会第十次会议《关于修改&lt;中华人民共和国建筑法&gt;等八部法律的决定》修正）第七十三条 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3.【法律】《中华人民共和国行政许可法》（根据2019年4月23日第十三届全国人民代表大会常务委员会第十次会议《关于修改&lt;中华人民共和国建筑法&gt;等八部法律的决定》修正）第七十四条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4.【法律】《中华人民共和国行政许可法》（根据2019年4月23日第十三届全国人民代表大会常务委员会第十次会议《关于修改&lt;中华人民共和国建筑法&gt;等八部法律的决定》修正）第七十四条第（二）项 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5.【法律】《中华人民共和国行政许可法》（根据2019年4月23日第十三届全国人民代表大会常务委员会第十次会议《关于修改&lt;中华人民共和国建筑法&gt;等八部法律的决定》修正）第七十五条 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kern w:val="2"/>
                <w:sz w:val="20"/>
                <w:szCs w:val="20"/>
                <w:highlight w:val="none"/>
                <w:lang w:val="en-US" w:eastAsia="zh-CN" w:bidi="ar-SA"/>
              </w:rPr>
              <w:t xml:space="preserve">    6.【法律】《中华人民共和国土地管理法》（1986年中华人民共和国主席令第41号公布  2004年中华人民共和国主席令第28号第二次修正，根据2019年8月26日第十三届全国人民代表大会常务委员会第十一次会议《关于修改&lt;中华人民共和国土地管理法&gt;、&lt;中华人民共和国城市房地产管理法&gt;的决定》第三次修正）第八十四条 自然资源主管部门、农业农村主管部门的工作人员玩忽职守、滥用职权、徇私舞弊，构成犯罪的，依法追究刑事责任；尚不构成犯罪的，依法给予处分。</w:t>
            </w: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260" w:lineRule="exact"/>
              <w:ind w:left="210" w:leftChars="0"/>
              <w:jc w:val="both"/>
              <w:rPr>
                <w:rFonts w:hint="eastAsia" w:ascii="仿宋_GB2312" w:hAnsi="仿宋_GB2312" w:eastAsia="仿宋_GB2312" w:cs="仿宋_GB2312"/>
                <w:snapToGrid w:val="0"/>
                <w:color w:val="auto"/>
                <w:sz w:val="20"/>
                <w:szCs w:val="20"/>
                <w:highlight w:val="none"/>
                <w:lang w:val="en-US" w:eastAsia="zh-CN"/>
              </w:rPr>
            </w:pPr>
            <w:r>
              <w:rPr>
                <w:rFonts w:hint="eastAsia" w:ascii="仿宋_GB2312" w:hAnsi="仿宋_GB2312" w:eastAsia="仿宋_GB2312" w:cs="仿宋_GB2312"/>
                <w:snapToGrid w:val="0"/>
                <w:color w:val="auto"/>
                <w:sz w:val="20"/>
                <w:szCs w:val="20"/>
                <w:highlight w:val="none"/>
                <w:lang w:val="en-US" w:eastAsia="zh-CN"/>
              </w:rPr>
              <w:t>3</w:t>
            </w:r>
          </w:p>
        </w:tc>
        <w:tc>
          <w:tcPr>
            <w:tcW w:w="457"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rPr>
              <w:t>行政许可</w:t>
            </w:r>
          </w:p>
        </w:tc>
        <w:tc>
          <w:tcPr>
            <w:tcW w:w="480"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rPr>
              <w:t>建设工程、临时建设工程规划许可</w:t>
            </w:r>
          </w:p>
        </w:tc>
        <w:tc>
          <w:tcPr>
            <w:tcW w:w="600"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0" w:firstLineChars="0"/>
              <w:rPr>
                <w:rFonts w:hint="eastAsia" w:ascii="仿宋_GB2312" w:hAnsi="仿宋_GB2312" w:eastAsia="仿宋_GB2312" w:cs="仿宋_GB2312"/>
                <w:snapToGrid w:val="0"/>
                <w:kern w:val="2"/>
                <w:sz w:val="20"/>
                <w:szCs w:val="20"/>
                <w:highlight w:val="none"/>
                <w:lang w:val="en-US" w:eastAsia="zh-CN" w:bidi="ar-SA"/>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城市、县人民政府城乡规划主管部门或者省、自治区、直辖市人民政府确定的镇人民政府应当依法将经审定的修建性详细规划、建设工程设计方案的总平面图予以公布。</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【地方性法规】《广西壮族自治区实施〈中华人民共和国城乡规划法〉办法》（2010年3月31日讨论通过，自2010年6月1日起施行，2016年11月30日予以修正）第三十一条　在城市、镇规划区内进行建筑物、构筑物、道路、管线和其他工程建设的，建设单位或者个人应当向城市、县人民政府城乡规划主管部门或者自治区人民政府确定的镇人民政府申请办理建设工程规划许可证。未取得建设工程规划许可证的，不得进行建设。</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取得建设工程规划许可证的，应当按照建设工程规划许可证的规定进行建设。</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建设工程规划许可证按照以下规定办理：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一）建设单位或者个人持使用土地的有关证明文件、建设项目批准文件、项目相关文件图纸、地形图、经依法审定的建设工程设计方案（需要编制修建性详细规划的，应提供经依法审定的修建性详细规划）及其相关材料，向城乡规划主管部门或者自治区人民政府确定的镇人民政府提出建设工程规划许可书面申请。</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kern w:val="2"/>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二）城乡规划主管部门或者自治区人民政府确定的镇人民政府审核建设单位或者个人是否符合法定资格，申请事项是否符合法定程序和法定形式，申请材料、图纸是否完备等；依据控制性详细规划、相关的法律法规以及其他具体要求，审核申请事项的内容。对符合条件的，核发建设工程规划许可证；对不符合条件的，不予核发，并书面说明理由。</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受理阶段责任：一次性告知补正材料；依法受理或不予受理（不予受理应当告知理由）；</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审查阶段责任：对项目相关文件图纸、地形图、经依法审定的建设工程设计方案（需要编制修建性详细规划的，应提供经依法审定的修建性详细规划）及其相关材料进行初审，提出拟办意见，依程序审批；</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 xml:space="preserve">决定阶段责任：作出准予审定或不予审定的审批决定；按时办结，法定告知； </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送达阶段责任：准予审定的，核发建设工程（含临时建设）规划许可证；不予审定的，制发不予审定决定，信息公开；</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事后监管阶段责任：根据举报或发现的情况，依法对项目批后实施加强监督管理；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kern w:val="2"/>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其他法律法规政策规定应履行的责任。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【法律】《中华人民共和国行政许可法》（2003年主席令第七号公布）第三十二条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【法律】《中华人民共和国行政许可法》（2003年主席令第七号公布）第三十四条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【法律】《中华人民共和国行政许可法》（2003年主席令第七号公布）第四十六条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法律、法规、规章规定实施行政许可应当听证的事项，或者行政机关认为需要听证的其他涉及公共利益的重大行政许可事项，行政机关应当向社会公告，并举行听证。</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【法规】《广西壮族自治区实施〈中华人民共和国城乡规划法〉办法》（2010年3月31日讨论通过，自2010年6月1日起施行，2016年11月30日予以修正） 第十五条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需要建设单位或者个人编制修建性详细规划或者建设工程设计方案的总平面图的，城乡规划主管部门或者自治区人民政府确定的镇人民政府应当依据控制性详细规划出具规划条件。建设单位或者个人应当委托具有相应资质的规划设计单位依据规划条件编制修建性详细规划或者建设工程设计方案的总平面图，报所在地的人民政府城乡规划主管部门或者自治区人民政府确定的镇人民政府审定。城乡规划主管部门或者自治区人民政府确定的镇人民政府对建设单位或者个人提交的修建性详细规划或者建设工程设计方案的总平面图进行审定，对符合控制性详细规划、规划条件和国家、自治区有关规范、标准要求的，予以审定；对不符合要求的，不予审定，并书面说明理由。</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【法律】《中华人民共和国行政许可法》（2003年主席令第七号公布）第三十七条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行政机关对行政许可申请进行审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查后，除了当场作出行政许可决定的，应在法定期限内按照规定程序作出行政许可决定。</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【法律】《中华人民共和国行政许可法》（2003年主席令第七号公布）第三十八条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【法律】《中华人民共和国行政许可法》（2003年主席令第七号公布）第四十条“行政机关作出的准予行政许可决定，应当予以公开，公众有权查阅。” </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4-2【法律】《中华人民共和国行政许可法》（2003年主席令第七号公布）第四十四条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行政机关作出准予行政许可的决定，应当自作出决定之日起十日内向申请人颁发、送达行政许可证件、或者加贴标签、加盖检验、检测、检疫印章。</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lang w:val="en-US" w:eastAsia="zh-CN"/>
              </w:rPr>
              <w:t>5.</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【法律】《中华人民共和国行政许可法》（2003年主席令第七号公布）第六十一条:"行政机关应当建立健全监督制度，通过核查反映被许可人从事行政许可事项活动情况的有关材料，履行监督责任。”</w:t>
            </w:r>
          </w:p>
          <w:p>
            <w:pPr>
              <w:widowControl/>
              <w:adjustRightInd w:val="0"/>
              <w:snapToGrid w:val="0"/>
              <w:spacing w:line="234" w:lineRule="exact"/>
              <w:ind w:firstLine="384" w:firstLineChars="200"/>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【法规】《广西壮族自治区实施〈中华人民共和国城乡规划法〉办法》（2010年3月31日讨论通过，自2010年6月1日起施行，2016年11月30日予以修正）第三十一条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建设工程规划许可证按照以下规定办理：（一）建设单位或者个人持使用土地的有关证明文件、建设项目批准文件、项目相关文件图纸、地形图、经依法审定的建设工程设计方案（需要编制修建性详细规划的，应提供经依法审定的修建性详细规划）及其相关材料，向城乡规划主管部门或者自治区人民政府确定的镇人民政府提出建设工程规划许可书面申请。（二）城乡规划主管部门或者自治区人民政府确定的镇人民政府审核建设单位或者个人是否符合法定资格，申请事项是否符合法定程序和法定形式，申请材料、图纸是否完备等；依据控制性详细规划、相关的法律法规以及其他具体要求，审核申请事项的内容。对符合条件的，核发建设工程规划许可证；对不符合条件的，不予核发，并书面说明理由</w:t>
            </w:r>
          </w:p>
        </w:tc>
        <w:tc>
          <w:tcPr>
            <w:tcW w:w="296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因不履行或不正确履行行政职责,有下列情形的，行政机关及相关工作人员应承担相应责任：</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对符合审批条件的申请不予受理、或者不在法定期限内作出准予行政许可决定的。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对不符合审批条件的申请准予受理、准予行政许可或超越法定职权作出准予行政许可决定的。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不履行或不正确履行行政权力，造成严重后果的。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在审批过程中失职渎职，玩忽职守、滥用职权，为他人谋取不正当利益的。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腐败行为的。</w:t>
            </w:r>
          </w:p>
          <w:p>
            <w:pPr>
              <w:widowControl/>
              <w:adjustRightInd w:val="0"/>
              <w:snapToGrid w:val="0"/>
              <w:spacing w:line="234" w:lineRule="exact"/>
              <w:ind w:firstLine="384" w:firstLineChars="200"/>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其他违反法律法规规章文件规定的行为。</w:t>
            </w:r>
          </w:p>
        </w:tc>
        <w:tc>
          <w:tcPr>
            <w:tcW w:w="416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六十条“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【规章】《城乡规划违法违纪行为处分办法》（监察部、人社部、住建部令第29号） 第十条：县级以上地方人民政府城乡规划主管部门及其工作人员或者由省、自治区、直辖市人民政府确定的镇人民政府及其工作人员有下列行为之一的，对有关责任人员给予警告或者记过处分；情节较重的，给予记大过或者降级处分；情节严重的，给予撤职处分：（二）超越职权或者对不符合法定条件的申请人核发选址意见书、建设用地规划许可证、建设工程规划许可证、乡村建设规划许可证的；（三）对符合法定条件的申请人不予核发或者未在法定期限内核发选址意见书、建设用地规划许可证、建设工程规划许可证、乡村建设规划许可证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lang w:eastAsia="zh-CN"/>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r>
              <w:rPr>
                <w:rFonts w:hint="eastAsia" w:ascii="仿宋_GB2312" w:hAnsi="仿宋_GB2312" w:eastAsia="仿宋_GB2312" w:cs="仿宋_GB2312"/>
                <w:b w:val="0"/>
                <w:bCs w:val="0"/>
                <w:snapToGrid w:val="0"/>
                <w:color w:val="auto"/>
                <w:spacing w:val="-4"/>
                <w:sz w:val="20"/>
                <w:szCs w:val="20"/>
                <w:highlight w:val="none"/>
                <w:lang w:eastAsia="zh-CN"/>
              </w:rPr>
              <w:t>.</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【法律】《中华人民共和国城乡规划法》（2007年10月28日主席令第七十四号，2015年4月24日予以修改）第六十一条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县级以上人民政府有关部门有下列行为之一的，由本级人民政府或者上级人民政府有关部门责令改正，通报批评；对直接负责的主管人员和其他直接责任人员依法给予处分：（一）对未依法取得选址意见书的建设项目核发建设项目批准文件的；（二）未依法在国有土地使用权出让合同中确定规划条件或者改变国有土地使用权出让合同中依法确定的规划条件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2003年8月27日通过，中华人民共和国主席令7号）第七十三条：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34" w:lineRule="exact"/>
              <w:ind w:firstLine="384" w:firstLineChars="200"/>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r>
              <w:rPr>
                <w:rFonts w:hint="eastAsia" w:ascii="仿宋_GB2312" w:hAnsi="仿宋_GB2312" w:eastAsia="仿宋_GB2312" w:cs="仿宋_GB2312"/>
                <w:b w:val="0"/>
                <w:bCs w:val="0"/>
                <w:snapToGrid w:val="0"/>
                <w:color w:val="auto"/>
                <w:spacing w:val="-4"/>
                <w:sz w:val="20"/>
                <w:szCs w:val="20"/>
                <w:highlight w:val="none"/>
                <w:lang w:eastAsia="zh-CN"/>
              </w:rPr>
              <w:t>.</w:t>
            </w: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lang w:eastAsia="zh-CN"/>
              </w:rPr>
              <w:t>法律法规规定的免责情形以及市委、市人民政府有关文件中明确的免责情形。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400" w:firstLineChars="200"/>
              <w:rPr>
                <w:rFonts w:hint="eastAsia" w:ascii="仿宋_GB2312" w:hAnsi="仿宋_GB2312" w:eastAsia="仿宋_GB2312" w:cs="仿宋_GB2312"/>
                <w:snapToGrid w:val="0"/>
                <w:color w:val="auto"/>
                <w:kern w:val="2"/>
                <w:sz w:val="20"/>
                <w:szCs w:val="20"/>
                <w:highlight w:val="none"/>
                <w:lang w:val="en-US" w:eastAsia="zh-CN" w:bidi="ar-SA"/>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98" w:lineRule="exact"/>
              <w:jc w:val="center"/>
              <w:textAlignment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bidi="ar"/>
              </w:rPr>
              <w:t>4</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jc w:val="center"/>
              <w:textAlignment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bidi="ar"/>
              </w:rPr>
              <w:t>行政许可</w:t>
            </w: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textAlignment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bidi="ar"/>
              </w:rPr>
              <w:t>涉路施工许可</w:t>
            </w:r>
          </w:p>
        </w:tc>
        <w:tc>
          <w:tcPr>
            <w:tcW w:w="600" w:type="dxa"/>
            <w:tcBorders>
              <w:top w:val="single" w:color="auto" w:sz="4" w:space="0"/>
              <w:left w:val="nil"/>
              <w:bottom w:val="single" w:color="auto" w:sz="4" w:space="0"/>
              <w:right w:val="single" w:color="auto" w:sz="4" w:space="0"/>
            </w:tcBorders>
            <w:noWrap w:val="0"/>
            <w:vAlign w:val="center"/>
          </w:tcPr>
          <w:p>
            <w:pPr>
              <w:adjustRightInd w:val="0"/>
              <w:snapToGrid w:val="0"/>
              <w:spacing w:line="298" w:lineRule="exact"/>
              <w:rPr>
                <w:rFonts w:hint="eastAsia" w:ascii="仿宋_GB2312" w:hAnsi="仿宋_GB2312" w:eastAsia="仿宋_GB2312" w:cs="仿宋_GB2312"/>
                <w:snapToGrid w:val="0"/>
                <w:color w:val="000000"/>
                <w:kern w:val="2"/>
                <w:sz w:val="20"/>
                <w:szCs w:val="20"/>
                <w:highlight w:val="none"/>
                <w:lang w:val="en-US" w:eastAsia="zh-CN" w:bidi="ar-SA"/>
              </w:rPr>
            </w:pP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val="en-US" w:eastAsia="zh-CN" w:bidi="ar"/>
              </w:rPr>
              <w:t>乡村建设综合服务中心（综合行政执法队）</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1.【法律】《中华人民共和国公路法》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第五十六条：除公路防护、养护需要的以外，禁止在公路两侧的建筑控制区内修建建筑物和地面构筑物；需要在建筑控制区内埋设管线、电缆等设施的，应当事先经县级以上地方人民政府交通主管部门批准。</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bidi="ar"/>
              </w:rPr>
              <w:t>2.【行政法规】《公路安全保护条例》（2011年国务院令第593号）第二十七条： 进行下列涉路施工活动，建设单位应当向公路管理机构提出申请：（二）跨越、穿越公路修建桥梁、渡槽或者架设、埋设管道、电缆等设施；（三）在公路用地范围内架设、埋设管道、电缆等设施；（四）利用公路桥梁、公路隧道、涵洞铺设电缆等设施；（七）在公路建筑控制区内埋设管道、电缆等设施。</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1.受理责任：公示应当提交的材料；一次性告知补正材料；依法受理或不予受理（不予受理应当告知理由）。</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2.审查责任：按照政策规定对书面材料进行审查，提出是否同意审批的初步意见，告知申请人、利害相关人享有听证权利；涉及公共利益的重大许可，向社会公告，并举行听证。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3.决定责任：作出行政许可或者不予行政许可决定，法定告知（不予许可的应当书面告知理由）。</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4.送达责任：准予许可的制发送达审批决定。</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5.事后监管环节责任：开展定期和不定期检查，对审批后的相关事宜实施监督管理。</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bidi="ar"/>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5日内一次性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并注明日期的书面凭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第三十七条：行政机关对行政许可申请进行审查后，除当场作出行政许可决定的外，应当在法定期限内按照规定程序作出行政许可决定。</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4.【法律】《中华人民共和国行政许可法》第三十九条：行政机关作出准予行政许可的决定，需要颁发行政许可证件的，应当向申请人颁发加盖本行政机关印章的下列行政许可证件：（一）许可证、执照或者其他许可证书；（二）资格证、资质证或者其他合格证书；（三）行政机关的批准文件或者证明文件；（四）法律、法规规定的其他行政许可证件。行政机关实施检验、检测、检疫的，可以在检验、检测、检疫合格的设备、设施、产品、物品上加贴标签或者加盖检验、检测、检疫印章。</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第四十条：行政机关作出的准予行政许可决定，应当予以公开，公众有权查阅。</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highlight w:val="none"/>
                <w:lang w:bidi="ar"/>
              </w:rPr>
            </w:pPr>
            <w:r>
              <w:rPr>
                <w:rFonts w:hint="eastAsia" w:ascii="仿宋_GB2312" w:hAnsi="仿宋_GB2312" w:eastAsia="仿宋_GB2312" w:cs="仿宋_GB2312"/>
                <w:snapToGrid w:val="0"/>
                <w:color w:val="000000"/>
                <w:sz w:val="20"/>
                <w:szCs w:val="20"/>
                <w:highlight w:val="none"/>
                <w:lang w:bidi="ar"/>
              </w:rPr>
              <w:t>第四十四条：行政机关作出准予行政许可的决定，应当自作出决定之日起十日内向申请人颁发、送达行政许可证件，或者加贴标签、加盖检验、检测、检疫印章。</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bidi="ar"/>
              </w:rPr>
              <w:t>5.【法律】《中华人民共和国行政许可法》第六十一条：行政机关应当建立健全监督制度，通过检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tc>
        <w:tc>
          <w:tcPr>
            <w:tcW w:w="2969"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1、对符合法定条件的申请不予行政许可的；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2、对不符合法定条件的申请予以行政许可的；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3、在受理、审查、决定行政许可过程中，未向申请人、利害关系人履行法定告知义务的；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5、不依法履行行政许可监督职责或监督不力造成严重后果的；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6、在许可过程中徇私舞弊、滥用职权或者玩忽职守的；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7、其他违反法律法规文件规定的行为。</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p>
        </w:tc>
        <w:tc>
          <w:tcPr>
            <w:tcW w:w="4161"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4.【法规】《行政机关公务员处分条例》（2007年国务院令第495号）第二十一条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5.【法律】《中华人民共和国行政许可法》（2003年主席令第七号公布）  第七十三条行政机关工作人员办理行政许可、实施监督检查，索取或者收受他人财物或者谋取其他利益，构成犯罪的，依法追究刑事责任；尚不构成犯罪的，依法给予行政处分。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6.【法律】《中华人民共和国行政许可法》（2003年主席令第七号公布）  第七十三条行政机关工作人员办理行政许可、实施监督检查，索取或者收受他人财物或者谋取其他利益，构成犯罪的，依法追究刑事责任；尚不构成犯罪的，依法给予行政处分。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400"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法律法规规定的免责情形及《自治区党委办公厅关于印发〈深入推进激励干部新时代新担当新作为工作实施方案〉等6个文件的通知》中明确的免责情形。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rPr>
                <w:rFonts w:hint="eastAsia" w:ascii="仿宋_GB2312" w:hAnsi="仿宋_GB2312" w:eastAsia="仿宋_GB2312" w:cs="仿宋_GB2312"/>
                <w:b w:val="0"/>
                <w:bCs w:val="0"/>
                <w:snapToGrid w:val="0"/>
                <w:color w:val="auto"/>
                <w:spacing w:val="-4"/>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highlight w:val="none"/>
                <w:lang w:val="en-US" w:eastAsia="zh-CN" w:bidi="ar"/>
              </w:rPr>
            </w:pPr>
            <w:r>
              <w:rPr>
                <w:rFonts w:hint="eastAsia" w:ascii="仿宋_GB2312" w:hAnsi="仿宋_GB2312" w:eastAsia="仿宋_GB2312" w:cs="仿宋_GB2312"/>
                <w:kern w:val="0"/>
                <w:sz w:val="20"/>
                <w:szCs w:val="20"/>
                <w:highlight w:val="none"/>
                <w:lang w:val="en-US" w:eastAsia="zh-CN" w:bidi="ar"/>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jc w:val="center"/>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ascii="仿宋_GB2312" w:hAnsi="仿宋_GB2312" w:eastAsia="仿宋_GB2312" w:cs="仿宋_GB2312"/>
                <w:color w:val="auto"/>
                <w:kern w:val="0"/>
                <w:sz w:val="20"/>
                <w:szCs w:val="20"/>
                <w:highlight w:val="none"/>
                <w:lang w:eastAsia="zh-CN" w:bidi="ar"/>
              </w:rPr>
              <w:t>工商企业等社会资本通过流转取得土地经营权审批</w:t>
            </w:r>
          </w:p>
        </w:tc>
        <w:tc>
          <w:tcPr>
            <w:tcW w:w="60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Pr>
                <w:rFonts w:hint="eastAsia" w:ascii="仿宋_GB2312" w:hAnsi="仿宋_GB2312" w:eastAsia="仿宋_GB2312" w:cs="仿宋_GB2312"/>
                <w:color w:val="auto"/>
                <w:kern w:val="2"/>
                <w:sz w:val="20"/>
                <w:szCs w:val="20"/>
                <w:highlight w:val="none"/>
                <w:vertAlign w:val="baseli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Style w:val="15"/>
                <w:rFonts w:hint="eastAsia" w:ascii="仿宋_GB2312" w:hAnsi="仿宋_GB2312" w:eastAsia="仿宋_GB2312" w:cs="仿宋_GB2312"/>
                <w:color w:val="auto"/>
                <w:sz w:val="20"/>
                <w:szCs w:val="20"/>
                <w:highlight w:val="none"/>
                <w:lang w:bidi="ar"/>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1.【法律】《中华人民共和国农村土地承包法》第三十六条：承包方可以自主决定依法采取出租（转包）、入股或者其他方式向他人流转土地经营权，并向发包方备案。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ind w:left="0" w:leftChars="0" w:firstLine="400" w:firstLineChars="200"/>
              <w:textAlignment w:val="center"/>
              <w:rPr>
                <w:rFonts w:hint="eastAsia" w:ascii="仿宋_GB2312" w:hAnsi="仿宋_GB2312" w:eastAsia="仿宋_GB2312" w:cs="仿宋_GB2312"/>
                <w:color w:val="auto"/>
                <w:kern w:val="2"/>
                <w:sz w:val="20"/>
                <w:szCs w:val="20"/>
                <w:highlight w:val="none"/>
                <w:u w:val="none"/>
                <w:lang w:val="en-US" w:eastAsia="zh-CN" w:bidi="ar"/>
              </w:rPr>
            </w:pPr>
            <w:r>
              <w:rPr>
                <w:rStyle w:val="15"/>
                <w:rFonts w:hint="eastAsia" w:ascii="仿宋_GB2312" w:hAnsi="仿宋_GB2312" w:eastAsia="仿宋_GB2312" w:cs="仿宋_GB2312"/>
                <w:color w:val="auto"/>
                <w:sz w:val="20"/>
                <w:szCs w:val="20"/>
                <w:highlight w:val="none"/>
                <w:lang w:bidi="ar"/>
              </w:rPr>
              <w:t>（四）审查审核通过的，受让主体与承包方签订土地经营权流转合同。未按规定提交审查审核申请或者审查审核未通过的，不得开展土地经营权流转活动。</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1.受理责任：公示应当提交的材料，当场一次性告知补正材料，依法受理或不予受理（不予受理应当告</w:t>
            </w:r>
            <w:r>
              <w:rPr>
                <w:rStyle w:val="14"/>
                <w:rFonts w:hint="eastAsia" w:ascii="仿宋_GB2312" w:hAnsi="仿宋_GB2312" w:eastAsia="仿宋_GB2312" w:cs="仿宋_GB2312"/>
                <w:color w:val="auto"/>
                <w:sz w:val="20"/>
                <w:szCs w:val="20"/>
                <w:highlight w:val="none"/>
                <w:lang w:bidi="ar"/>
              </w:rPr>
              <w:t>知理由）。</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2.审查责任：对提交材料进行审查，审查是否符合条件，提出</w:t>
            </w:r>
            <w:r>
              <w:rPr>
                <w:rStyle w:val="14"/>
                <w:rFonts w:hint="eastAsia" w:ascii="仿宋_GB2312" w:hAnsi="仿宋_GB2312" w:eastAsia="仿宋_GB2312" w:cs="仿宋_GB2312"/>
                <w:color w:val="auto"/>
                <w:sz w:val="20"/>
                <w:szCs w:val="20"/>
                <w:highlight w:val="none"/>
                <w:lang w:bidi="ar"/>
              </w:rPr>
              <w:t>审查意见。</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3.决定责任：作出行政许可或者不予行政许可决定，法定告知（不予许可的应当书面告</w:t>
            </w:r>
            <w:r>
              <w:rPr>
                <w:rStyle w:val="14"/>
                <w:rFonts w:hint="eastAsia" w:ascii="仿宋_GB2312" w:hAnsi="仿宋_GB2312" w:eastAsia="仿宋_GB2312" w:cs="仿宋_GB2312"/>
                <w:color w:val="auto"/>
                <w:sz w:val="20"/>
                <w:szCs w:val="20"/>
                <w:highlight w:val="none"/>
                <w:lang w:bidi="ar"/>
              </w:rPr>
              <w:t>知理由）。</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4.送达责任：制作拖拉机、联合收割机驾驶证，送达并</w:t>
            </w:r>
            <w:r>
              <w:rPr>
                <w:rStyle w:val="14"/>
                <w:rFonts w:hint="eastAsia" w:ascii="仿宋_GB2312" w:hAnsi="仿宋_GB2312" w:eastAsia="仿宋_GB2312" w:cs="仿宋_GB2312"/>
                <w:color w:val="auto"/>
                <w:sz w:val="20"/>
                <w:szCs w:val="20"/>
                <w:highlight w:val="none"/>
                <w:lang w:bidi="ar"/>
              </w:rPr>
              <w:t>公开信息。</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5.监管责任：建立实施监督检查的运行机制和管理制度，开展定期和不定期检查，依法采取相关</w:t>
            </w:r>
            <w:r>
              <w:rPr>
                <w:rStyle w:val="14"/>
                <w:rFonts w:hint="eastAsia" w:ascii="仿宋_GB2312" w:hAnsi="仿宋_GB2312" w:eastAsia="仿宋_GB2312" w:cs="仿宋_GB2312"/>
                <w:color w:val="auto"/>
                <w:sz w:val="20"/>
                <w:szCs w:val="20"/>
                <w:highlight w:val="none"/>
                <w:lang w:bidi="ar"/>
              </w:rPr>
              <w:t>处置措施。</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Fonts w:hint="eastAsia" w:ascii="仿宋_GB2312" w:hAnsi="仿宋_GB2312" w:eastAsia="仿宋_GB2312" w:cs="仿宋_GB2312"/>
                <w:color w:val="auto"/>
                <w:kern w:val="2"/>
                <w:sz w:val="20"/>
                <w:szCs w:val="20"/>
                <w:highlight w:val="none"/>
                <w:u w:val="none"/>
                <w:lang w:val="en-US" w:eastAsia="zh-CN" w:bidi="ar"/>
              </w:rPr>
            </w:pPr>
            <w:r>
              <w:rPr>
                <w:rStyle w:val="15"/>
                <w:rFonts w:hint="eastAsia" w:ascii="仿宋_GB2312" w:hAnsi="仿宋_GB2312" w:eastAsia="仿宋_GB2312" w:cs="仿宋_GB2312"/>
                <w:color w:val="auto"/>
                <w:sz w:val="20"/>
                <w:szCs w:val="20"/>
                <w:highlight w:val="none"/>
                <w:lang w:bidi="ar"/>
              </w:rPr>
              <w:t>6.其他法律法规规章文件规定应履</w:t>
            </w:r>
            <w:r>
              <w:rPr>
                <w:rStyle w:val="14"/>
                <w:rFonts w:hint="eastAsia" w:ascii="仿宋_GB2312" w:hAnsi="仿宋_GB2312" w:eastAsia="仿宋_GB2312" w:cs="仿宋_GB2312"/>
                <w:color w:val="auto"/>
                <w:sz w:val="20"/>
                <w:szCs w:val="20"/>
                <w:highlight w:val="none"/>
                <w:lang w:bidi="ar"/>
              </w:rPr>
              <w:t>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Fonts w:hint="eastAsia" w:ascii="仿宋_GB2312" w:hAnsi="仿宋_GB2312" w:eastAsia="仿宋_GB2312" w:cs="仿宋_GB2312"/>
                <w:color w:val="auto"/>
                <w:kern w:val="2"/>
                <w:sz w:val="20"/>
                <w:szCs w:val="20"/>
                <w:highlight w:val="none"/>
                <w:u w:val="none"/>
                <w:lang w:val="en-US" w:eastAsia="zh-CN" w:bidi="ar"/>
              </w:rPr>
            </w:pPr>
            <w:r>
              <w:rPr>
                <w:rStyle w:val="15"/>
                <w:rFonts w:hint="eastAsia" w:ascii="仿宋_GB2312" w:hAnsi="仿宋_GB2312" w:eastAsia="仿宋_GB2312" w:cs="仿宋_GB2312"/>
                <w:color w:val="auto"/>
                <w:sz w:val="20"/>
                <w:szCs w:val="20"/>
                <w:highlight w:val="none"/>
                <w:lang w:bidi="ar"/>
              </w:rPr>
              <w:t>7.【法律】《中华人民共和国行政许可法》第四十条：行政机关作出的准予行政许可决定，应当予以公开，公众有权查阅。</w:t>
            </w: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1. 对符合审批条件的申请不予受理、或者不在法定期限内作出准予行政许可决定的。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2. 对不符合审批条件的申请准予受理、准予行政许可或超越法定职权作出准予行政许可决定的。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3. 不履行或不正确履行行政权力，造成严重后果的。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4. 在审批过程中失职渎职，玩忽职守、滥用职权，为他人谋取不正当利益的。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42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6.除以上追责情形外，其他违反法律法规规章的行为依法追究相应责任。</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法律】《中华人民共和国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法律】《中华人民共和国行政许可法》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第七十七条：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-1.【法律】《中华人民共和国行政许可法》第七十三条：行政机关工作人员办理行政许可、实施监督检查，索取或者收受他人财物或者谋取其他利益，构成犯罪的，依法追究刑事责任；尚不构成犯罪的，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-2.【地方性法规】《广西壮族自治区行政执法责任制实施办法》（2001年1月9日自治区人民政府第26次常务会议审议通过）第三十四条：责任人在行政执法过程中，徇私舞弊、贪赃枉法、收受贿赂以及因其他违法行为构成犯罪的，由司法机关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5-3.【行政法规】《行政机关公务员处分条例》（2007年国务院令第495号公布）第二十三条：有贪污、索贿、受贿、行贿、介绍贿赂、挪用公款。</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i w:val="0"/>
                <w:iCs w:val="0"/>
                <w:caps w:val="0"/>
                <w:color w:val="auto"/>
                <w:spacing w:val="0"/>
                <w:sz w:val="20"/>
                <w:szCs w:val="20"/>
                <w:highlight w:val="none"/>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349"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highlight w:val="none"/>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jc w:val="center"/>
              <w:rPr>
                <w:rFonts w:hint="eastAsia" w:ascii="仿宋_GB2312" w:hAnsi="仿宋_GB2312" w:eastAsia="仿宋_GB2312" w:cs="仿宋_GB2312"/>
                <w:snapToGrid w:val="0"/>
                <w:color w:val="auto"/>
                <w:sz w:val="20"/>
                <w:szCs w:val="20"/>
                <w:highlight w:val="none"/>
                <w:lang w:val="en-US"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textAlignment w:val="center"/>
              <w:rPr>
                <w:rFonts w:hint="eastAsia" w:ascii="仿宋_GB2312" w:hAnsi="仿宋_GB2312" w:eastAsia="仿宋_GB2312" w:cs="仿宋_GB2312"/>
                <w:color w:val="auto"/>
                <w:kern w:val="0"/>
                <w:sz w:val="20"/>
                <w:szCs w:val="20"/>
                <w:highlight w:val="none"/>
                <w:lang w:eastAsia="zh-CN" w:bidi="ar"/>
              </w:rPr>
            </w:pPr>
          </w:p>
        </w:tc>
        <w:tc>
          <w:tcPr>
            <w:tcW w:w="60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Pr>
                <w:rFonts w:hint="eastAsia" w:ascii="仿宋_GB2312" w:hAnsi="仿宋_GB2312" w:eastAsia="仿宋_GB2312" w:cs="仿宋_GB2312"/>
                <w:color w:val="auto"/>
                <w:kern w:val="2"/>
                <w:sz w:val="20"/>
                <w:szCs w:val="20"/>
                <w:highlight w:val="none"/>
                <w:vertAlign w:val="baseli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sz w:val="20"/>
                <w:szCs w:val="20"/>
                <w:highlight w:val="none"/>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highlight w:val="none"/>
                <w:lang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eastAsia="zh-CN"/>
              </w:rPr>
            </w:pPr>
          </w:p>
        </w:tc>
        <w:tc>
          <w:tcPr>
            <w:tcW w:w="4161"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61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kern w:val="0"/>
                <w:sz w:val="20"/>
                <w:szCs w:val="20"/>
                <w:highlight w:val="none"/>
                <w:lang w:val="en-US" w:eastAsia="zh-CN" w:bidi="ar"/>
              </w:rPr>
              <w:t>6</w:t>
            </w:r>
          </w:p>
        </w:tc>
        <w:tc>
          <w:tcPr>
            <w:tcW w:w="45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kern w:val="0"/>
                <w:sz w:val="20"/>
                <w:szCs w:val="20"/>
                <w:highlight w:val="none"/>
                <w:lang w:bidi="ar"/>
              </w:rPr>
              <w:t>行政许可</w:t>
            </w:r>
          </w:p>
        </w:tc>
        <w:tc>
          <w:tcPr>
            <w:tcW w:w="480" w:type="dxa"/>
            <w:shd w:val="clear" w:color="auto" w:fill="FFFFFF"/>
            <w:noWrap w:val="0"/>
            <w:tcMar>
              <w:top w:w="57" w:type="dxa"/>
              <w:left w:w="57" w:type="dxa"/>
              <w:bottom w:w="57" w:type="dxa"/>
              <w:right w:w="57" w:type="dxa"/>
            </w:tcMar>
            <w:vAlign w:val="center"/>
          </w:tcPr>
          <w:p>
            <w:pPr>
              <w:adjustRightInd w:val="0"/>
              <w:snapToGrid w:val="0"/>
              <w:spacing w:line="300" w:lineRule="exact"/>
              <w:textAlignment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kern w:val="0"/>
                <w:sz w:val="20"/>
                <w:szCs w:val="20"/>
                <w:highlight w:val="none"/>
                <w:lang w:bidi="ar"/>
              </w:rPr>
              <w:t>农村村民宅基地审批</w:t>
            </w:r>
          </w:p>
        </w:tc>
        <w:tc>
          <w:tcPr>
            <w:tcW w:w="60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highlight w:val="none"/>
                <w:lang w:val="en-US" w:eastAsia="zh-CN" w:bidi="ar-SA"/>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highlight w:val="none"/>
                <w:lang w:bidi="ar"/>
              </w:rPr>
            </w:pPr>
            <w:r>
              <w:rPr>
                <w:rFonts w:hint="eastAsia" w:ascii="仿宋_GB2312" w:hAnsi="仿宋_GB2312" w:eastAsia="仿宋_GB2312" w:cs="仿宋_GB2312"/>
                <w:kern w:val="0"/>
                <w:sz w:val="20"/>
                <w:szCs w:val="20"/>
                <w:highlight w:val="none"/>
                <w:lang w:bidi="ar"/>
              </w:rPr>
              <w:t>【法律】《中华人民共和国土地管理法》第六十二条：农村村民一户只能拥有一处宅基地，其宅基地的面积不得超过省、自治区、直辖市规</w:t>
            </w:r>
            <w:r>
              <w:rPr>
                <w:rStyle w:val="14"/>
                <w:rFonts w:hint="eastAsia" w:ascii="仿宋_GB2312" w:hAnsi="仿宋_GB2312" w:eastAsia="仿宋_GB2312" w:cs="仿宋_GB2312"/>
                <w:color w:val="auto"/>
                <w:sz w:val="20"/>
                <w:szCs w:val="20"/>
                <w:highlight w:val="none"/>
                <w:lang w:bidi="ar"/>
              </w:rPr>
              <w:t>定</w:t>
            </w:r>
            <w:r>
              <w:rPr>
                <w:rStyle w:val="15"/>
                <w:rFonts w:hint="eastAsia" w:ascii="仿宋_GB2312" w:hAnsi="仿宋_GB2312" w:eastAsia="仿宋_GB2312" w:cs="仿宋_GB2312"/>
                <w:color w:val="auto"/>
                <w:sz w:val="20"/>
                <w:szCs w:val="20"/>
                <w:highlight w:val="none"/>
                <w:lang w:bidi="ar"/>
              </w:rPr>
              <w:t>的标准。</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人均土地少、不能保障一户拥有一处宅基地的地区，县级人民政府在充分尊重农村村民意愿的基础上，可以采取措施，按照省、自治区、直辖市规定的标准保障农村村民实现</w:t>
            </w:r>
            <w:r>
              <w:rPr>
                <w:rStyle w:val="14"/>
                <w:rFonts w:hint="eastAsia" w:ascii="仿宋_GB2312" w:hAnsi="仿宋_GB2312" w:eastAsia="仿宋_GB2312" w:cs="仿宋_GB2312"/>
                <w:color w:val="auto"/>
                <w:sz w:val="20"/>
                <w:szCs w:val="20"/>
                <w:highlight w:val="none"/>
                <w:lang w:bidi="ar"/>
              </w:rPr>
              <w:t>户</w:t>
            </w:r>
            <w:r>
              <w:rPr>
                <w:rStyle w:val="15"/>
                <w:rFonts w:hint="eastAsia" w:ascii="仿宋_GB2312" w:hAnsi="仿宋_GB2312" w:eastAsia="仿宋_GB2312" w:cs="仿宋_GB2312"/>
                <w:color w:val="auto"/>
                <w:sz w:val="20"/>
                <w:szCs w:val="20"/>
                <w:highlight w:val="none"/>
                <w:lang w:bidi="ar"/>
              </w:rPr>
              <w:t>有所居。</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w:t>
            </w:r>
            <w:r>
              <w:rPr>
                <w:rStyle w:val="14"/>
                <w:rFonts w:hint="eastAsia" w:ascii="仿宋_GB2312" w:hAnsi="仿宋_GB2312" w:eastAsia="仿宋_GB2312" w:cs="仿宋_GB2312"/>
                <w:color w:val="auto"/>
                <w:sz w:val="20"/>
                <w:szCs w:val="20"/>
                <w:highlight w:val="none"/>
                <w:lang w:bidi="ar"/>
              </w:rPr>
              <w:t>境</w:t>
            </w:r>
            <w:r>
              <w:rPr>
                <w:rStyle w:val="15"/>
                <w:rFonts w:hint="eastAsia" w:ascii="仿宋_GB2312" w:hAnsi="仿宋_GB2312" w:eastAsia="仿宋_GB2312" w:cs="仿宋_GB2312"/>
                <w:color w:val="auto"/>
                <w:sz w:val="20"/>
                <w:szCs w:val="20"/>
                <w:highlight w:val="none"/>
                <w:lang w:bidi="ar"/>
              </w:rPr>
              <w:t>和条件。</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农村村民住宅用地，由乡（镇）人民政府审核批准；其中，涉及占用农用地的，依照本法第四十四条的规定办理</w:t>
            </w:r>
            <w:r>
              <w:rPr>
                <w:rStyle w:val="14"/>
                <w:rFonts w:hint="eastAsia" w:ascii="仿宋_GB2312" w:hAnsi="仿宋_GB2312" w:eastAsia="仿宋_GB2312" w:cs="仿宋_GB2312"/>
                <w:color w:val="auto"/>
                <w:sz w:val="20"/>
                <w:szCs w:val="20"/>
                <w:highlight w:val="none"/>
                <w:lang w:bidi="ar"/>
              </w:rPr>
              <w:t>审</w:t>
            </w:r>
            <w:r>
              <w:rPr>
                <w:rStyle w:val="15"/>
                <w:rFonts w:hint="eastAsia" w:ascii="仿宋_GB2312" w:hAnsi="仿宋_GB2312" w:eastAsia="仿宋_GB2312" w:cs="仿宋_GB2312"/>
                <w:color w:val="auto"/>
                <w:sz w:val="20"/>
                <w:szCs w:val="20"/>
                <w:highlight w:val="none"/>
                <w:lang w:bidi="ar"/>
              </w:rPr>
              <w:t>批手续。</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农村村民出卖、出租、赠与住宅后，再申请宅基地的，</w:t>
            </w:r>
            <w:r>
              <w:rPr>
                <w:rStyle w:val="14"/>
                <w:rFonts w:hint="eastAsia" w:ascii="仿宋_GB2312" w:hAnsi="仿宋_GB2312" w:eastAsia="仿宋_GB2312" w:cs="仿宋_GB2312"/>
                <w:color w:val="auto"/>
                <w:sz w:val="20"/>
                <w:szCs w:val="20"/>
                <w:highlight w:val="none"/>
                <w:lang w:bidi="ar"/>
              </w:rPr>
              <w:t>不</w:t>
            </w:r>
            <w:r>
              <w:rPr>
                <w:rStyle w:val="15"/>
                <w:rFonts w:hint="eastAsia" w:ascii="仿宋_GB2312" w:hAnsi="仿宋_GB2312" w:eastAsia="仿宋_GB2312" w:cs="仿宋_GB2312"/>
                <w:color w:val="auto"/>
                <w:sz w:val="20"/>
                <w:szCs w:val="20"/>
                <w:highlight w:val="none"/>
                <w:lang w:bidi="ar"/>
              </w:rPr>
              <w:t>予批准。</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国家允许进城落户的农村村民依法自愿有偿退出宅基地，鼓励农村集体经济组织及其成员盘活利用闲置宅基地和</w:t>
            </w:r>
            <w:r>
              <w:rPr>
                <w:rStyle w:val="14"/>
                <w:rFonts w:hint="eastAsia" w:ascii="仿宋_GB2312" w:hAnsi="仿宋_GB2312" w:eastAsia="仿宋_GB2312" w:cs="仿宋_GB2312"/>
                <w:color w:val="auto"/>
                <w:sz w:val="20"/>
                <w:szCs w:val="20"/>
                <w:highlight w:val="none"/>
                <w:lang w:bidi="ar"/>
              </w:rPr>
              <w:t>闲</w:t>
            </w:r>
            <w:r>
              <w:rPr>
                <w:rStyle w:val="15"/>
                <w:rFonts w:hint="eastAsia" w:ascii="仿宋_GB2312" w:hAnsi="仿宋_GB2312" w:eastAsia="仿宋_GB2312" w:cs="仿宋_GB2312"/>
                <w:color w:val="auto"/>
                <w:sz w:val="20"/>
                <w:szCs w:val="20"/>
                <w:highlight w:val="none"/>
                <w:lang w:bidi="ar"/>
              </w:rPr>
              <w:t>置住宅。</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highlight w:val="none"/>
              </w:rPr>
            </w:pPr>
            <w:r>
              <w:rPr>
                <w:rStyle w:val="15"/>
                <w:rFonts w:hint="eastAsia" w:ascii="仿宋_GB2312" w:hAnsi="仿宋_GB2312" w:eastAsia="仿宋_GB2312" w:cs="仿宋_GB2312"/>
                <w:color w:val="auto"/>
                <w:sz w:val="20"/>
                <w:szCs w:val="20"/>
                <w:highlight w:val="none"/>
                <w:lang w:bidi="ar"/>
              </w:rPr>
              <w:t>国务院农业农村主管部门负责全国农村宅基地改革和管理有关工作。</w:t>
            </w:r>
          </w:p>
        </w:tc>
        <w:tc>
          <w:tcPr>
            <w:tcW w:w="2730"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1.受理责任：公示应当提交的材料，一次性告知补正材料，依法受理或不予受理（不予受理应当告</w:t>
            </w:r>
            <w:r>
              <w:rPr>
                <w:rStyle w:val="14"/>
                <w:rFonts w:hint="eastAsia" w:ascii="仿宋_GB2312" w:hAnsi="仿宋_GB2312" w:eastAsia="仿宋_GB2312" w:cs="仿宋_GB2312"/>
                <w:color w:val="auto"/>
                <w:sz w:val="20"/>
                <w:szCs w:val="20"/>
                <w:highlight w:val="none"/>
                <w:lang w:bidi="ar"/>
              </w:rPr>
              <w:t>知理由）。</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2.审查责任：审查申请材料，组织</w:t>
            </w:r>
            <w:r>
              <w:rPr>
                <w:rStyle w:val="14"/>
                <w:rFonts w:hint="eastAsia" w:ascii="仿宋_GB2312" w:hAnsi="仿宋_GB2312" w:eastAsia="仿宋_GB2312" w:cs="仿宋_GB2312"/>
                <w:color w:val="auto"/>
                <w:sz w:val="20"/>
                <w:szCs w:val="20"/>
                <w:highlight w:val="none"/>
                <w:lang w:bidi="ar"/>
              </w:rPr>
              <w:t>现场检查。</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3.决定责任：作出行政许可或者不予行政许可决定，法定告知（不予许可的应当书面告</w:t>
            </w:r>
            <w:r>
              <w:rPr>
                <w:rStyle w:val="14"/>
                <w:rFonts w:hint="eastAsia" w:ascii="仿宋_GB2312" w:hAnsi="仿宋_GB2312" w:eastAsia="仿宋_GB2312" w:cs="仿宋_GB2312"/>
                <w:color w:val="auto"/>
                <w:sz w:val="20"/>
                <w:szCs w:val="20"/>
                <w:highlight w:val="none"/>
                <w:lang w:bidi="ar"/>
              </w:rPr>
              <w:t>知理由）。</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4.送达责任：准予许可的，制发许可证书或批件，送达并</w:t>
            </w:r>
            <w:r>
              <w:rPr>
                <w:rStyle w:val="14"/>
                <w:rFonts w:hint="eastAsia" w:ascii="仿宋_GB2312" w:hAnsi="仿宋_GB2312" w:eastAsia="仿宋_GB2312" w:cs="仿宋_GB2312"/>
                <w:color w:val="auto"/>
                <w:sz w:val="20"/>
                <w:szCs w:val="20"/>
                <w:highlight w:val="none"/>
                <w:lang w:bidi="ar"/>
              </w:rPr>
              <w:t>信息公开。</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5.监管责任：建立实施监督检查的运行机制和管理制度，开展定期和不定期检查，依法采取相关</w:t>
            </w:r>
            <w:r>
              <w:rPr>
                <w:rStyle w:val="14"/>
                <w:rFonts w:hint="eastAsia" w:ascii="仿宋_GB2312" w:hAnsi="仿宋_GB2312" w:eastAsia="仿宋_GB2312" w:cs="仿宋_GB2312"/>
                <w:color w:val="auto"/>
                <w:sz w:val="20"/>
                <w:szCs w:val="20"/>
                <w:highlight w:val="none"/>
                <w:lang w:bidi="ar"/>
              </w:rPr>
              <w:t>处置措施。</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highlight w:val="none"/>
              </w:rPr>
            </w:pPr>
            <w:r>
              <w:rPr>
                <w:rStyle w:val="15"/>
                <w:rFonts w:hint="eastAsia" w:ascii="仿宋_GB2312" w:hAnsi="仿宋_GB2312" w:eastAsia="仿宋_GB2312" w:cs="仿宋_GB2312"/>
                <w:color w:val="auto"/>
                <w:sz w:val="20"/>
                <w:szCs w:val="20"/>
                <w:highlight w:val="none"/>
                <w:lang w:bidi="ar"/>
              </w:rPr>
              <w:t>6.其他法律法规规章文件规定应履行的责任。</w:t>
            </w:r>
          </w:p>
        </w:tc>
        <w:tc>
          <w:tcPr>
            <w:tcW w:w="3811"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1.【法律】《中华人民共和国行政许可法》</w:t>
            </w:r>
            <w:r>
              <w:rPr>
                <w:rStyle w:val="14"/>
                <w:rFonts w:hint="eastAsia" w:ascii="仿宋_GB2312" w:hAnsi="仿宋_GB2312" w:eastAsia="仿宋_GB2312" w:cs="仿宋_GB2312"/>
                <w:color w:val="auto"/>
                <w:sz w:val="20"/>
                <w:szCs w:val="20"/>
                <w:highlight w:val="none"/>
                <w:lang w:bidi="ar"/>
              </w:rPr>
              <w:t>第三</w:t>
            </w:r>
            <w:r>
              <w:rPr>
                <w:rStyle w:val="15"/>
                <w:rFonts w:hint="eastAsia" w:ascii="仿宋_GB2312" w:hAnsi="仿宋_GB2312" w:eastAsia="仿宋_GB2312" w:cs="仿宋_GB2312"/>
                <w:color w:val="auto"/>
                <w:sz w:val="20"/>
                <w:szCs w:val="20"/>
                <w:highlight w:val="none"/>
                <w:lang w:bidi="ar"/>
              </w:rPr>
              <w:t>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w:t>
            </w:r>
            <w:r>
              <w:rPr>
                <w:rStyle w:val="14"/>
                <w:rFonts w:hint="eastAsia" w:ascii="仿宋_GB2312" w:hAnsi="仿宋_GB2312" w:eastAsia="仿宋_GB2312" w:cs="仿宋_GB2312"/>
                <w:color w:val="auto"/>
                <w:sz w:val="20"/>
                <w:szCs w:val="20"/>
                <w:highlight w:val="none"/>
                <w:lang w:bidi="ar"/>
              </w:rPr>
              <w:t>书面凭证。</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2.【法律】《中华人民共和国行政许可法》</w:t>
            </w:r>
            <w:r>
              <w:rPr>
                <w:rStyle w:val="14"/>
                <w:rFonts w:hint="eastAsia" w:ascii="仿宋_GB2312" w:hAnsi="仿宋_GB2312" w:eastAsia="仿宋_GB2312" w:cs="仿宋_GB2312"/>
                <w:color w:val="auto"/>
                <w:sz w:val="20"/>
                <w:szCs w:val="20"/>
                <w:highlight w:val="none"/>
                <w:lang w:bidi="ar"/>
              </w:rPr>
              <w:t>第三</w:t>
            </w:r>
            <w:r>
              <w:rPr>
                <w:rStyle w:val="15"/>
                <w:rFonts w:hint="eastAsia" w:ascii="仿宋_GB2312" w:hAnsi="仿宋_GB2312" w:eastAsia="仿宋_GB2312" w:cs="仿宋_GB2312"/>
                <w:color w:val="auto"/>
                <w:sz w:val="20"/>
                <w:szCs w:val="20"/>
                <w:highlight w:val="none"/>
                <w:lang w:bidi="ar"/>
              </w:rPr>
              <w:t>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w:t>
            </w:r>
            <w:r>
              <w:rPr>
                <w:rStyle w:val="14"/>
                <w:rFonts w:hint="eastAsia" w:ascii="仿宋_GB2312" w:hAnsi="仿宋_GB2312" w:eastAsia="仿宋_GB2312" w:cs="仿宋_GB2312"/>
                <w:color w:val="auto"/>
                <w:sz w:val="20"/>
                <w:szCs w:val="20"/>
                <w:highlight w:val="none"/>
                <w:lang w:bidi="ar"/>
              </w:rPr>
              <w:t>进行核查。</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3.【法律】《中华人民共和国行政许可法》</w:t>
            </w:r>
            <w:r>
              <w:rPr>
                <w:rStyle w:val="14"/>
                <w:rFonts w:hint="eastAsia" w:ascii="仿宋_GB2312" w:hAnsi="仿宋_GB2312" w:eastAsia="仿宋_GB2312" w:cs="仿宋_GB2312"/>
                <w:color w:val="auto"/>
                <w:sz w:val="20"/>
                <w:szCs w:val="20"/>
                <w:highlight w:val="none"/>
                <w:lang w:bidi="ar"/>
              </w:rPr>
              <w:t>第三</w:t>
            </w:r>
            <w:r>
              <w:rPr>
                <w:rStyle w:val="15"/>
                <w:rFonts w:hint="eastAsia" w:ascii="仿宋_GB2312" w:hAnsi="仿宋_GB2312" w:eastAsia="仿宋_GB2312" w:cs="仿宋_GB2312"/>
                <w:color w:val="auto"/>
                <w:sz w:val="20"/>
                <w:szCs w:val="20"/>
                <w:highlight w:val="none"/>
                <w:lang w:bidi="ar"/>
              </w:rPr>
              <w:t>十七条：行政机关对行政许可申请进行审查后，除当场作出行政许可决定的外，应当在法定期限内按照规定程序作出行政</w:t>
            </w:r>
            <w:r>
              <w:rPr>
                <w:rStyle w:val="14"/>
                <w:rFonts w:hint="eastAsia" w:ascii="仿宋_GB2312" w:hAnsi="仿宋_GB2312" w:eastAsia="仿宋_GB2312" w:cs="仿宋_GB2312"/>
                <w:color w:val="auto"/>
                <w:sz w:val="20"/>
                <w:szCs w:val="20"/>
                <w:highlight w:val="none"/>
                <w:lang w:bidi="ar"/>
              </w:rPr>
              <w:t>许可决</w:t>
            </w:r>
            <w:r>
              <w:rPr>
                <w:rStyle w:val="15"/>
                <w:rFonts w:hint="eastAsia" w:ascii="仿宋_GB2312" w:hAnsi="仿宋_GB2312" w:eastAsia="仿宋_GB2312" w:cs="仿宋_GB2312"/>
                <w:color w:val="auto"/>
                <w:sz w:val="20"/>
                <w:szCs w:val="20"/>
                <w:highlight w:val="none"/>
                <w:lang w:bidi="ar"/>
              </w:rPr>
              <w:t>定。</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4"/>
                <w:rFonts w:hint="eastAsia" w:ascii="仿宋_GB2312" w:hAnsi="仿宋_GB2312" w:eastAsia="仿宋_GB2312" w:cs="仿宋_GB2312"/>
                <w:color w:val="auto"/>
                <w:sz w:val="20"/>
                <w:szCs w:val="20"/>
                <w:highlight w:val="none"/>
                <w:lang w:bidi="ar"/>
              </w:rPr>
              <w:t>第三</w:t>
            </w:r>
            <w:r>
              <w:rPr>
                <w:rStyle w:val="15"/>
                <w:rFonts w:hint="eastAsia" w:ascii="仿宋_GB2312" w:hAnsi="仿宋_GB2312" w:eastAsia="仿宋_GB2312" w:cs="仿宋_GB2312"/>
                <w:color w:val="auto"/>
                <w:sz w:val="20"/>
                <w:szCs w:val="20"/>
                <w:highlight w:val="none"/>
                <w:lang w:bidi="ar"/>
              </w:rPr>
              <w:t>十八条：申请人的申请符合法定条件、标准的，行政机关应当依法作出准予行政许可的书面决定。行政机关依法作出不予行政许可的书面决定的，应当说明理由，并告知申请人享有依法申请行政复议或者提起行政诉</w:t>
            </w:r>
            <w:r>
              <w:rPr>
                <w:rStyle w:val="14"/>
                <w:rFonts w:hint="eastAsia" w:ascii="仿宋_GB2312" w:hAnsi="仿宋_GB2312" w:eastAsia="仿宋_GB2312" w:cs="仿宋_GB2312"/>
                <w:color w:val="auto"/>
                <w:sz w:val="20"/>
                <w:szCs w:val="20"/>
                <w:highlight w:val="none"/>
                <w:lang w:bidi="ar"/>
              </w:rPr>
              <w:t>讼的权利。</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4.【法律】《中华人民共和国行政许可法》</w:t>
            </w:r>
            <w:r>
              <w:rPr>
                <w:rStyle w:val="14"/>
                <w:rFonts w:hint="eastAsia" w:ascii="仿宋_GB2312" w:hAnsi="仿宋_GB2312" w:eastAsia="仿宋_GB2312" w:cs="仿宋_GB2312"/>
                <w:color w:val="auto"/>
                <w:sz w:val="20"/>
                <w:szCs w:val="20"/>
                <w:highlight w:val="none"/>
                <w:lang w:bidi="ar"/>
              </w:rPr>
              <w:t>第四</w:t>
            </w:r>
            <w:r>
              <w:rPr>
                <w:rStyle w:val="15"/>
                <w:rFonts w:hint="eastAsia" w:ascii="仿宋_GB2312" w:hAnsi="仿宋_GB2312" w:eastAsia="仿宋_GB2312" w:cs="仿宋_GB2312"/>
                <w:color w:val="auto"/>
                <w:sz w:val="20"/>
                <w:szCs w:val="20"/>
                <w:highlight w:val="none"/>
                <w:lang w:bidi="ar"/>
              </w:rPr>
              <w:t>十四条：行政机关作出准予行政许可的决定，应当自作出决定之日起十日内向申请人颁发、送达行政许可证件，或者加贴标签、加盖检验、检测、</w:t>
            </w:r>
            <w:r>
              <w:rPr>
                <w:rStyle w:val="14"/>
                <w:rFonts w:hint="eastAsia" w:ascii="仿宋_GB2312" w:hAnsi="仿宋_GB2312" w:eastAsia="仿宋_GB2312" w:cs="仿宋_GB2312"/>
                <w:color w:val="auto"/>
                <w:sz w:val="20"/>
                <w:szCs w:val="20"/>
                <w:highlight w:val="none"/>
                <w:lang w:bidi="ar"/>
              </w:rPr>
              <w:t>检疫印章。</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highlight w:val="none"/>
                <w:lang w:bidi="ar"/>
              </w:rPr>
            </w:pPr>
            <w:r>
              <w:rPr>
                <w:rStyle w:val="15"/>
                <w:rFonts w:hint="eastAsia" w:ascii="仿宋_GB2312" w:hAnsi="仿宋_GB2312" w:eastAsia="仿宋_GB2312" w:cs="仿宋_GB2312"/>
                <w:color w:val="auto"/>
                <w:sz w:val="20"/>
                <w:szCs w:val="20"/>
                <w:highlight w:val="none"/>
                <w:lang w:bidi="ar"/>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w:t>
            </w:r>
            <w:r>
              <w:rPr>
                <w:rStyle w:val="14"/>
                <w:rFonts w:hint="eastAsia" w:ascii="仿宋_GB2312" w:hAnsi="仿宋_GB2312" w:eastAsia="仿宋_GB2312" w:cs="仿宋_GB2312"/>
                <w:color w:val="auto"/>
                <w:sz w:val="20"/>
                <w:szCs w:val="20"/>
                <w:highlight w:val="none"/>
                <w:lang w:bidi="ar"/>
              </w:rPr>
              <w:t>建</w:t>
            </w:r>
            <w:r>
              <w:rPr>
                <w:rStyle w:val="15"/>
                <w:rFonts w:hint="eastAsia" w:ascii="仿宋_GB2312" w:hAnsi="仿宋_GB2312" w:eastAsia="仿宋_GB2312" w:cs="仿宋_GB2312"/>
                <w:color w:val="auto"/>
                <w:sz w:val="20"/>
                <w:szCs w:val="20"/>
                <w:highlight w:val="none"/>
                <w:lang w:bidi="ar"/>
              </w:rPr>
              <w:t>的房屋。</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highlight w:val="none"/>
              </w:rPr>
            </w:pPr>
            <w:r>
              <w:rPr>
                <w:rStyle w:val="15"/>
                <w:rFonts w:hint="eastAsia" w:ascii="仿宋_GB2312" w:hAnsi="仿宋_GB2312" w:eastAsia="仿宋_GB2312" w:cs="仿宋_GB2312"/>
                <w:color w:val="auto"/>
                <w:sz w:val="20"/>
                <w:szCs w:val="20"/>
                <w:highlight w:val="none"/>
                <w:lang w:bidi="ar"/>
              </w:rPr>
              <w:t>超过省、自治区、直辖市规定的标准，多占的土地以非法占用</w:t>
            </w:r>
            <w:r>
              <w:rPr>
                <w:rStyle w:val="14"/>
                <w:rFonts w:hint="eastAsia" w:ascii="仿宋_GB2312" w:hAnsi="仿宋_GB2312" w:eastAsia="仿宋_GB2312" w:cs="仿宋_GB2312"/>
                <w:color w:val="auto"/>
                <w:sz w:val="20"/>
                <w:szCs w:val="20"/>
                <w:highlight w:val="none"/>
                <w:lang w:bidi="ar"/>
              </w:rPr>
              <w:t>土地论处。</w:t>
            </w: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color w:val="auto"/>
                <w:sz w:val="20"/>
                <w:szCs w:val="20"/>
                <w:highlight w:val="none"/>
                <w:lang w:eastAsia="zh-CN"/>
              </w:rPr>
              <w:t xml:space="preserve"> </w:t>
            </w: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    1.对符合申报要求的申请不予受理、许可的；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    2.将不符合规定条件的予以审批的；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    3.超过法定期限或者擅自增设、变更审批程序或审批条件实施行政许可的；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    4.违反法定程序实施评审，造成经济损失或构成犯罪的；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    5.在履行职责过程中滥用职权、玩忽职守、徇私舞弊的；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    6.在审批过程中发生腐败行为的；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    7. 除以上追责情形外，其他违反法律法规规章的行为依法追求相应责任。</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    3.【法规】《行政机关公务员处分条例》（2007年4月4日中华人民共和国国务院令第495号公布）第二十一条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    5.【法律】《公务员法》（２００５年４月２７日中华人民共和国主席令第三十五号发布）（２００５年４月２７日中华人民共和国主席令第三十五号发布）第一百零四条 公务员主管部门的工作人员，违反本法规定，滥用职权、玩忽职守、徇私舞弊，构成犯罪的，依法追究刑事责任；尚不构成犯罪的，给予处分。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    6.【法规】《行政机关公务员处分条例》（2007年4月4日中华人民共和国国务院令第495号公布）第二十三条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7.同1.</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i w:val="0"/>
                <w:iCs w:val="0"/>
                <w:caps w:val="0"/>
                <w:color w:val="auto"/>
                <w:spacing w:val="0"/>
                <w:sz w:val="20"/>
                <w:szCs w:val="20"/>
                <w:highlight w:val="none"/>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21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highlight w:val="none"/>
                <w:lang w:val="en-US" w:eastAsia="zh-CN" w:bidi="ar"/>
              </w:rPr>
            </w:pPr>
            <w:r>
              <w:rPr>
                <w:rFonts w:hint="eastAsia" w:ascii="仿宋_GB2312" w:hAnsi="仿宋_GB2312" w:eastAsia="仿宋_GB2312" w:cs="仿宋_GB2312"/>
                <w:kern w:val="0"/>
                <w:sz w:val="20"/>
                <w:szCs w:val="20"/>
                <w:highlight w:val="none"/>
                <w:lang w:val="en-US" w:eastAsia="zh-CN" w:bidi="ar"/>
              </w:rPr>
              <w:t>7</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2"/>
                <w:sz w:val="20"/>
                <w:szCs w:val="20"/>
                <w:highlight w:val="none"/>
                <w:lang w:val="en-US" w:eastAsia="zh-CN" w:bidi="ar-SA"/>
              </w:rPr>
            </w:pPr>
            <w:r>
              <w:rPr>
                <w:rFonts w:hint="eastAsia" w:ascii="仿宋_GB2312" w:hAnsi="仿宋_GB2312" w:eastAsia="仿宋_GB2312" w:cs="仿宋_GB2312"/>
                <w:b w:val="0"/>
                <w:bCs w:val="0"/>
                <w:color w:val="000000"/>
                <w:sz w:val="20"/>
                <w:szCs w:val="20"/>
                <w:highlight w:val="none"/>
                <w:lang w:eastAsia="zh-CN"/>
              </w:rPr>
              <w:t>行政许可</w:t>
            </w: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2"/>
                <w:sz w:val="20"/>
                <w:szCs w:val="20"/>
                <w:highlight w:val="none"/>
                <w:lang w:val="en-US" w:eastAsia="zh-CN" w:bidi="ar-SA"/>
              </w:rPr>
            </w:pPr>
            <w:r>
              <w:rPr>
                <w:rFonts w:hint="eastAsia" w:ascii="仿宋_GB2312" w:hAnsi="仿宋_GB2312" w:eastAsia="仿宋_GB2312" w:cs="仿宋_GB2312"/>
                <w:b w:val="0"/>
                <w:bCs w:val="0"/>
                <w:color w:val="000000"/>
                <w:sz w:val="20"/>
                <w:szCs w:val="20"/>
                <w:highlight w:val="none"/>
              </w:rPr>
              <w:t>在村庄、集镇规划区内公共场所修建临时建筑等设施审批</w:t>
            </w: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000000"/>
                <w:kern w:val="2"/>
                <w:sz w:val="20"/>
                <w:szCs w:val="20"/>
                <w:highlight w:val="no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highlight w:val="none"/>
              </w:rPr>
            </w:pPr>
            <w:r>
              <w:rPr>
                <w:rFonts w:hint="eastAsia" w:ascii="仿宋_GB2312" w:hAnsi="仿宋_GB2312" w:eastAsia="仿宋_GB2312" w:cs="仿宋_GB2312"/>
                <w:b w:val="0"/>
                <w:bCs w:val="0"/>
                <w:color w:val="000000"/>
                <w:kern w:val="0"/>
                <w:sz w:val="20"/>
                <w:szCs w:val="20"/>
                <w:highlight w:val="none"/>
              </w:rPr>
              <w:t>【行政法规】《村庄和集镇规划建设管理条例》（中华人民共和国国务院令第116号）第六条 国务院建设行政主管部门主管全国的村庄、集镇规划建设管理工作。</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highlight w:val="none"/>
              </w:rPr>
            </w:pPr>
            <w:r>
              <w:rPr>
                <w:rFonts w:hint="eastAsia" w:ascii="仿宋_GB2312" w:hAnsi="仿宋_GB2312" w:eastAsia="仿宋_GB2312" w:cs="仿宋_GB2312"/>
                <w:b w:val="0"/>
                <w:bCs w:val="0"/>
                <w:color w:val="000000"/>
                <w:kern w:val="0"/>
                <w:sz w:val="20"/>
                <w:szCs w:val="20"/>
                <w:highlight w:val="none"/>
              </w:rPr>
              <w:t>县级以上地方人民政府建设行政主管部门主管本行政区域的村庄、集镇规划建设管理工作。</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highlight w:val="none"/>
              </w:rPr>
            </w:pPr>
            <w:r>
              <w:rPr>
                <w:rFonts w:hint="eastAsia" w:ascii="仿宋_GB2312" w:hAnsi="仿宋_GB2312" w:eastAsia="仿宋_GB2312" w:cs="仿宋_GB2312"/>
                <w:b w:val="0"/>
                <w:bCs w:val="0"/>
                <w:color w:val="000000"/>
                <w:kern w:val="0"/>
                <w:sz w:val="20"/>
                <w:szCs w:val="20"/>
                <w:highlight w:val="none"/>
              </w:rPr>
              <w:t>乡级人民政府负责本行政区域的村庄、集镇规划建设管理工作。</w:t>
            </w:r>
          </w:p>
          <w:p>
            <w:pPr>
              <w:adjustRightInd w:val="0"/>
              <w:snapToGrid w:val="0"/>
              <w:spacing w:line="320" w:lineRule="exact"/>
              <w:jc w:val="lef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b w:val="0"/>
                <w:bCs w:val="0"/>
                <w:color w:val="000000"/>
                <w:kern w:val="0"/>
                <w:sz w:val="20"/>
                <w:szCs w:val="20"/>
                <w:highlight w:val="none"/>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highlight w:val="none"/>
              </w:rPr>
            </w:pPr>
            <w:r>
              <w:rPr>
                <w:rFonts w:hint="eastAsia" w:ascii="仿宋_GB2312" w:hAnsi="仿宋_GB2312" w:eastAsia="仿宋_GB2312" w:cs="仿宋_GB2312"/>
                <w:b w:val="0"/>
                <w:bCs w:val="0"/>
                <w:color w:val="000000"/>
                <w:sz w:val="20"/>
                <w:szCs w:val="20"/>
                <w:highlight w:val="none"/>
              </w:rPr>
              <w:t>1.受理责任：公示应当提交的材料，一次性告知补正材料，依法受理或不予受理（不予受理应当告知理由）。</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highlight w:val="none"/>
              </w:rPr>
            </w:pPr>
            <w:r>
              <w:rPr>
                <w:rFonts w:hint="eastAsia" w:ascii="仿宋_GB2312" w:hAnsi="仿宋_GB2312" w:eastAsia="仿宋_GB2312" w:cs="仿宋_GB2312"/>
                <w:b w:val="0"/>
                <w:bCs w:val="0"/>
                <w:color w:val="000000"/>
                <w:sz w:val="20"/>
                <w:szCs w:val="20"/>
                <w:highlight w:val="none"/>
              </w:rPr>
              <w:t>2.审查责任：审查申请材料，组织专家审查。</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highlight w:val="none"/>
              </w:rPr>
            </w:pPr>
            <w:r>
              <w:rPr>
                <w:rFonts w:hint="eastAsia" w:ascii="仿宋_GB2312" w:hAnsi="仿宋_GB2312" w:eastAsia="仿宋_GB2312" w:cs="仿宋_GB2312"/>
                <w:b w:val="0"/>
                <w:bCs w:val="0"/>
                <w:color w:val="000000"/>
                <w:sz w:val="20"/>
                <w:szCs w:val="20"/>
                <w:highlight w:val="none"/>
              </w:rPr>
              <w:t>3.决定责任：作出行政许可或者不予行政许可决定，法定告知（不予许可的应当书面告知理由） 。</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highlight w:val="none"/>
              </w:rPr>
            </w:pPr>
            <w:r>
              <w:rPr>
                <w:rFonts w:hint="eastAsia" w:ascii="仿宋_GB2312" w:hAnsi="仿宋_GB2312" w:eastAsia="仿宋_GB2312" w:cs="仿宋_GB2312"/>
                <w:b w:val="0"/>
                <w:bCs w:val="0"/>
                <w:color w:val="000000"/>
                <w:sz w:val="20"/>
                <w:szCs w:val="20"/>
                <w:highlight w:val="none"/>
              </w:rPr>
              <w:t>4.送达责任：准予许可的，制发许可证书或批件，送达并信息公开。</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highlight w:val="none"/>
              </w:rPr>
            </w:pPr>
            <w:r>
              <w:rPr>
                <w:rFonts w:hint="eastAsia" w:ascii="仿宋_GB2312" w:hAnsi="仿宋_GB2312" w:eastAsia="仿宋_GB2312" w:cs="仿宋_GB2312"/>
                <w:b w:val="0"/>
                <w:bCs w:val="0"/>
                <w:color w:val="000000"/>
                <w:sz w:val="20"/>
                <w:szCs w:val="20"/>
                <w:highlight w:val="none"/>
              </w:rPr>
              <w:t>5.监管责任：建立企业诚信信息库，建立实施监督检查的运行机制和管理制度，开展定期和不定期检查，依法采取相关处置措施。</w:t>
            </w:r>
          </w:p>
          <w:p>
            <w:pPr>
              <w:adjustRightInd w:val="0"/>
              <w:snapToGrid w:val="0"/>
              <w:spacing w:line="257" w:lineRule="exact"/>
              <w:jc w:val="left"/>
              <w:rPr>
                <w:rFonts w:hint="eastAsia" w:ascii="仿宋_GB2312" w:hAnsi="仿宋_GB2312" w:eastAsia="仿宋_GB2312" w:cs="仿宋_GB2312"/>
                <w:b w:val="0"/>
                <w:bCs w:val="0"/>
                <w:color w:val="000000"/>
                <w:kern w:val="2"/>
                <w:sz w:val="20"/>
                <w:szCs w:val="20"/>
                <w:highlight w:val="none"/>
                <w:lang w:val="en-US" w:eastAsia="zh-CN" w:bidi="ar-SA"/>
              </w:rPr>
            </w:pPr>
            <w:r>
              <w:rPr>
                <w:rFonts w:hint="eastAsia" w:ascii="仿宋_GB2312" w:hAnsi="仿宋_GB2312" w:eastAsia="仿宋_GB2312" w:cs="仿宋_GB2312"/>
                <w:b w:val="0"/>
                <w:bCs w:val="0"/>
                <w:color w:val="000000"/>
                <w:sz w:val="20"/>
                <w:szCs w:val="20"/>
                <w:highlight w:val="none"/>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adjustRightInd w:val="0"/>
              <w:snapToGrid w:val="0"/>
              <w:spacing w:line="216" w:lineRule="exact"/>
              <w:ind w:firstLine="400" w:firstLineChars="200"/>
              <w:jc w:val="left"/>
              <w:rPr>
                <w:rFonts w:hint="eastAsia" w:ascii="仿宋_GB2312" w:hAnsi="仿宋_GB2312" w:eastAsia="仿宋_GB2312" w:cs="仿宋_GB2312"/>
                <w:b w:val="0"/>
                <w:bCs w:val="0"/>
                <w:color w:val="000000"/>
                <w:sz w:val="20"/>
                <w:szCs w:val="20"/>
                <w:highlight w:val="none"/>
              </w:rPr>
            </w:pPr>
            <w:r>
              <w:rPr>
                <w:rFonts w:hint="eastAsia" w:ascii="仿宋_GB2312" w:hAnsi="仿宋_GB2312" w:eastAsia="仿宋_GB2312" w:cs="仿宋_GB2312"/>
                <w:b w:val="0"/>
                <w:bCs w:val="0"/>
                <w:color w:val="000000"/>
                <w:sz w:val="20"/>
                <w:szCs w:val="20"/>
                <w:highlight w:val="none"/>
              </w:rPr>
              <w:t>1.【法律】《中华人民共和国行政</w:t>
            </w:r>
            <w:r>
              <w:rPr>
                <w:rFonts w:hint="eastAsia" w:ascii="仿宋_GB2312" w:hAnsi="仿宋_GB2312" w:eastAsia="仿宋_GB2312" w:cs="仿宋_GB2312"/>
                <w:b w:val="0"/>
                <w:bCs w:val="0"/>
                <w:color w:val="000000"/>
                <w:sz w:val="20"/>
                <w:szCs w:val="20"/>
                <w:highlight w:val="none"/>
                <w:lang w:val="e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b w:val="0"/>
                <w:bCs w:val="0"/>
                <w:color w:val="000000"/>
                <w:sz w:val="20"/>
                <w:szCs w:val="20"/>
                <w:highlight w:val="none"/>
              </w:rPr>
              <w:t>第三十二条</w:t>
            </w:r>
            <w:r>
              <w:rPr>
                <w:rFonts w:hint="eastAsia" w:ascii="仿宋_GB2312" w:hAnsi="仿宋_GB2312" w:eastAsia="仿宋_GB2312" w:cs="仿宋_GB2312"/>
                <w:b w:val="0"/>
                <w:bCs w:val="0"/>
                <w:color w:val="000000"/>
                <w:sz w:val="20"/>
                <w:szCs w:val="20"/>
                <w:highlight w:val="none"/>
                <w:lang w:val="en-US" w:eastAsia="zh-CN"/>
              </w:rPr>
              <w:t>:</w:t>
            </w:r>
            <w:r>
              <w:rPr>
                <w:rFonts w:hint="eastAsia" w:ascii="仿宋_GB2312" w:hAnsi="仿宋_GB2312" w:eastAsia="仿宋_GB2312" w:cs="仿宋_GB2312"/>
                <w:b w:val="0"/>
                <w:bCs w:val="0"/>
                <w:color w:val="000000"/>
                <w:sz w:val="20"/>
                <w:szCs w:val="20"/>
                <w:highlight w:val="none"/>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216" w:lineRule="exact"/>
              <w:ind w:firstLine="400" w:firstLineChars="200"/>
              <w:jc w:val="left"/>
              <w:rPr>
                <w:rFonts w:hint="eastAsia" w:ascii="仿宋_GB2312" w:hAnsi="仿宋_GB2312" w:eastAsia="仿宋_GB2312" w:cs="仿宋_GB2312"/>
                <w:b w:val="0"/>
                <w:bCs w:val="0"/>
                <w:color w:val="000000"/>
                <w:sz w:val="20"/>
                <w:szCs w:val="20"/>
                <w:highlight w:val="none"/>
              </w:rPr>
            </w:pPr>
            <w:r>
              <w:rPr>
                <w:rFonts w:hint="eastAsia" w:ascii="仿宋_GB2312" w:hAnsi="仿宋_GB2312" w:eastAsia="仿宋_GB2312" w:cs="仿宋_GB2312"/>
                <w:b w:val="0"/>
                <w:bCs w:val="0"/>
                <w:color w:val="000000"/>
                <w:sz w:val="20"/>
                <w:szCs w:val="20"/>
                <w:highlight w:val="none"/>
              </w:rPr>
              <w:t>2</w:t>
            </w:r>
            <w:r>
              <w:rPr>
                <w:rFonts w:hint="eastAsia" w:ascii="仿宋_GB2312" w:hAnsi="仿宋_GB2312" w:eastAsia="仿宋_GB2312" w:cs="仿宋_GB2312"/>
                <w:b w:val="0"/>
                <w:bCs w:val="0"/>
                <w:color w:val="000000"/>
                <w:sz w:val="20"/>
                <w:szCs w:val="20"/>
                <w:highlight w:val="none"/>
                <w:lang w:val="en-US" w:eastAsia="zh-CN"/>
              </w:rPr>
              <w:t>.</w:t>
            </w:r>
            <w:r>
              <w:rPr>
                <w:rFonts w:hint="eastAsia" w:ascii="仿宋_GB2312" w:hAnsi="仿宋_GB2312" w:eastAsia="仿宋_GB2312" w:cs="仿宋_GB2312"/>
                <w:b w:val="0"/>
                <w:bCs w:val="0"/>
                <w:color w:val="000000"/>
                <w:sz w:val="20"/>
                <w:szCs w:val="20"/>
                <w:highlight w:val="none"/>
              </w:rPr>
              <w:t>【法律】《中华人民共和国行政</w:t>
            </w:r>
            <w:r>
              <w:rPr>
                <w:rFonts w:hint="eastAsia" w:ascii="仿宋_GB2312" w:hAnsi="仿宋_GB2312" w:eastAsia="仿宋_GB2312" w:cs="仿宋_GB2312"/>
                <w:b w:val="0"/>
                <w:bCs w:val="0"/>
                <w:color w:val="000000"/>
                <w:sz w:val="20"/>
                <w:szCs w:val="20"/>
                <w:highlight w:val="none"/>
                <w:lang w:val="e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b w:val="0"/>
                <w:bCs w:val="0"/>
                <w:color w:val="000000"/>
                <w:sz w:val="20"/>
                <w:szCs w:val="20"/>
                <w:highlight w:val="none"/>
              </w:rPr>
              <w:t>第三十四条</w:t>
            </w:r>
            <w:r>
              <w:rPr>
                <w:rFonts w:hint="eastAsia" w:ascii="仿宋_GB2312" w:hAnsi="仿宋_GB2312" w:eastAsia="仿宋_GB2312" w:cs="仿宋_GB2312"/>
                <w:b w:val="0"/>
                <w:bCs w:val="0"/>
                <w:color w:val="000000"/>
                <w:sz w:val="20"/>
                <w:szCs w:val="20"/>
                <w:highlight w:val="none"/>
                <w:lang w:val="en-US" w:eastAsia="zh-CN"/>
              </w:rPr>
              <w:t>:</w:t>
            </w:r>
            <w:r>
              <w:rPr>
                <w:rFonts w:hint="eastAsia" w:ascii="仿宋_GB2312" w:hAnsi="仿宋_GB2312" w:eastAsia="仿宋_GB2312" w:cs="仿宋_GB2312"/>
                <w:b w:val="0"/>
                <w:bCs w:val="0"/>
                <w:color w:val="000000"/>
                <w:sz w:val="20"/>
                <w:szCs w:val="20"/>
                <w:highlight w:val="none"/>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highlight w:val="none"/>
                <w:lang w:val="en-US" w:eastAsia="zh-CN" w:bidi="ar-SA"/>
              </w:rPr>
            </w:pP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    1.对符合申报要求的申请不予受理、许可的；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    2.将不符合规定条件的予以审批的；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    3.超过法定期限或者擅自增设、变更审批程序或审批条件实施行政许可的；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    4.违反法定程序实施评审，造成经济损失或构成犯罪的；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    5.在履行职责过程中滥用职权、玩忽职守、徇私舞弊的；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    6.在审批过程中发生腐败行为的；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    7. 除以上追责情形外，其他违反法律法规规章的行为依法追求相应责任。</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    3.【法规】《行政机关公务员处分条例》（2007年4月4日中华人民共和国国务院令第495号公布）第二十一条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    5.【法律】《公务员法》（２００５年４月２７日中华人民共和国主席令第三十五号发布）（２００５年４月２７日中华人民共和国主席令第三十五号发布）第一百零四条 公务员主管部门的工作人员，违反本法规定，滥用职权、玩忽职守、徇私舞弊，构成犯罪的，依法追究刑事责任；尚不构成犯罪的，给予处分。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    6.【法规】《行政机关公务员处分条例》（2007年4月4日中华人民共和国国务院令第495号公布）第二十三条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7.同1.</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eastAsia="zh-CN"/>
              </w:rPr>
            </w:pPr>
            <w:r>
              <w:rPr>
                <w:rFonts w:ascii="仿宋_GB2312" w:hAnsi="宋体" w:eastAsia="仿宋_GB2312" w:cs="仿宋_GB2312"/>
                <w:i w:val="0"/>
                <w:iCs w:val="0"/>
                <w:caps w:val="0"/>
                <w:color w:val="auto"/>
                <w:spacing w:val="0"/>
                <w:sz w:val="20"/>
                <w:szCs w:val="20"/>
                <w:highlight w:val="none"/>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21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ascii="仿宋_GB2312" w:hAnsi="仿宋_GB2312" w:eastAsia="仿宋_GB2312" w:cs="仿宋_GB2312"/>
                <w:color w:val="auto"/>
                <w:kern w:val="0"/>
                <w:sz w:val="20"/>
                <w:szCs w:val="20"/>
                <w:highlight w:val="none"/>
                <w:lang w:val="en-US" w:eastAsia="zh-CN" w:bidi="ar"/>
              </w:rPr>
              <w:t>8</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lang w:eastAsia="zh-CN"/>
              </w:rPr>
            </w:pPr>
            <w:r>
              <w:rPr>
                <w:rFonts w:hint="eastAsia" w:ascii="仿宋_GB2312" w:hAnsi="仿宋_GB2312" w:eastAsia="仿宋_GB2312" w:cs="仿宋_GB2312"/>
                <w:b w:val="0"/>
                <w:bCs w:val="0"/>
                <w:color w:val="auto"/>
                <w:sz w:val="20"/>
                <w:szCs w:val="20"/>
                <w:highlight w:val="none"/>
                <w:lang w:eastAsia="zh-CN"/>
              </w:rPr>
              <w:t>行政许可</w:t>
            </w: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b w:val="0"/>
                <w:bCs w:val="0"/>
                <w:color w:val="auto"/>
                <w:sz w:val="20"/>
                <w:szCs w:val="20"/>
                <w:highlight w:val="none"/>
              </w:rPr>
              <w:t>林木采伐许可证核发</w:t>
            </w: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highlight w:val="no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eastAsia="zh-CN"/>
              </w:rPr>
              <w:t>林业工作站</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【法律】《中华人民共和国森林法》（2019年12月28日主席令第三十九号公布，2020年7月1日起施行)第五十六条  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 xml:space="preserve">    第五十七条  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 xml:space="preserve">    第五十九条  符合林木采伐技术规程的，审核发放采伐许可证的部门应当及时核发采伐许可证。但是，审核发放采伐许可证的部门不得超过年采伐限额发放采伐许可证。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 xml:space="preserve">    【行政法规】《中华人民共和国森林法实施条例》（2000年1月29日国务院令第278号公布并实施，根据2018年3月19日《国务院关于修改和废止部分行政法规的决定》修正）第三十二条  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adjustRightInd w:val="0"/>
              <w:snapToGrid w:val="0"/>
              <w:spacing w:line="257" w:lineRule="exact"/>
              <w:jc w:val="left"/>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b w:val="0"/>
                <w:bCs w:val="0"/>
                <w:color w:val="auto"/>
                <w:sz w:val="20"/>
                <w:szCs w:val="20"/>
                <w:highlight w:val="none"/>
              </w:rPr>
              <w:t>1.受理责任 ：公示依法应当提交的材料；一次性告知补正材料；依法受理或不予受理（不予受理应当告知理由）。</w:t>
            </w:r>
          </w:p>
          <w:p>
            <w:pPr>
              <w:adjustRightInd w:val="0"/>
              <w:snapToGrid w:val="0"/>
              <w:spacing w:line="257" w:lineRule="exact"/>
              <w:jc w:val="left"/>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b w:val="0"/>
                <w:bCs w:val="0"/>
                <w:color w:val="auto"/>
                <w:sz w:val="20"/>
                <w:szCs w:val="20"/>
                <w:highlight w:val="none"/>
              </w:rPr>
              <w:t xml:space="preserve">    2.审查责任 ：对申请材料进行审查，提出是否同意审批的初步意见；直接关系他人重大利益的，告知利害相关人并听取意见。</w:t>
            </w:r>
          </w:p>
          <w:p>
            <w:pPr>
              <w:adjustRightInd w:val="0"/>
              <w:snapToGrid w:val="0"/>
              <w:spacing w:line="257" w:lineRule="exact"/>
              <w:jc w:val="left"/>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b w:val="0"/>
                <w:bCs w:val="0"/>
                <w:color w:val="auto"/>
                <w:sz w:val="20"/>
                <w:szCs w:val="20"/>
                <w:highlight w:val="none"/>
              </w:rPr>
              <w:t xml:space="preserve">    3.决定责任 ：作出准予或者不予行政许可决定。不予许可的书面告知理由。</w:t>
            </w:r>
          </w:p>
          <w:p>
            <w:pPr>
              <w:adjustRightInd w:val="0"/>
              <w:snapToGrid w:val="0"/>
              <w:spacing w:line="257" w:lineRule="exact"/>
              <w:jc w:val="left"/>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b w:val="0"/>
                <w:bCs w:val="0"/>
                <w:color w:val="auto"/>
                <w:sz w:val="20"/>
                <w:szCs w:val="20"/>
                <w:highlight w:val="none"/>
              </w:rPr>
              <w:t xml:space="preserve">    4.送达责任 ：送达审批决定，公开许可结果。</w:t>
            </w:r>
          </w:p>
          <w:p>
            <w:pPr>
              <w:adjustRightInd w:val="0"/>
              <w:snapToGrid w:val="0"/>
              <w:spacing w:line="257" w:lineRule="exact"/>
              <w:jc w:val="left"/>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b w:val="0"/>
                <w:bCs w:val="0"/>
                <w:color w:val="auto"/>
                <w:sz w:val="20"/>
                <w:szCs w:val="20"/>
                <w:highlight w:val="none"/>
              </w:rPr>
              <w:t xml:space="preserve">    5.事后监管责任 ：建立实施监督检查的工作机制，并按照规定开展检查，依法采取相关处置措施。</w:t>
            </w:r>
          </w:p>
          <w:p>
            <w:pPr>
              <w:adjustRightInd w:val="0"/>
              <w:snapToGrid w:val="0"/>
              <w:spacing w:line="257" w:lineRule="exact"/>
              <w:jc w:val="left"/>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b w:val="0"/>
                <w:bCs w:val="0"/>
                <w:color w:val="auto"/>
                <w:sz w:val="20"/>
                <w:szCs w:val="20"/>
                <w:highlight w:val="none"/>
              </w:rPr>
              <w:t xml:space="preserve">    6.法律法规规章文件规定的其他应履行的责任  。</w:t>
            </w:r>
          </w:p>
        </w:tc>
        <w:tc>
          <w:tcPr>
            <w:tcW w:w="3811" w:type="dxa"/>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 xml:space="preserve"> 1．【法律】《中华人民共和国行政许可法》（2003年主席令第七号公布，2019年4月23日修改）第三十二条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 （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 xml:space="preserve">    2-1.【法律】《中华人民共和国行政许可法》（2003年主席令第七号公布，2019年4月23日修改）第三十四条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 </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 xml:space="preserve">    2-2.【法律】《中华人民共和国行政许可法》（2003年主席令第七号公布，2019年4月23日修改）第三十六条　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 xml:space="preserve">    3.【法律】《中华人民共和国行政许可法》（2003年主席令第七号公布，2019年4月23日修改）第三十八条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 xml:space="preserve">    4.【法律】《中华人民共和国行政许可法》（2003年主席令第七号公布，2019年4月23日修改）第四十四条 行政机关作出准予行政许可的决定，应当自作出决定之日起十日内向申请人颁发、送达行政许可证件，或者加贴标签、加盖检验、检测、检疫印章。</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 xml:space="preserve">    5.【法律】《中华人民共和国行政许可法》（2003年主席令第七号公布，2019年4月23日修改）第六十一条 行政机关应当建立健全监督制度，通过核查反映被许可人从事行政许可事项活动情况的有关材料，履行监督责任。 </w:t>
            </w: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因不履行或不正确履行行政职责，有下列情形的行政机关及相关工作人员应承担相应的责任：</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1.对符合法定条件的不予受理的；</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2.对不符合法定条件予以许可的；</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3.未严格审查申请材料造成纠纷或财产损失的；</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4.擅自增设、变更审查程序或备案条件的；</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5.在项目审核中滥用职权、玩忽职守、徇私舞弊，造成森林资源遭受较大损失的；</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6.其他违反法律法规规定的行为。</w:t>
            </w:r>
          </w:p>
        </w:tc>
        <w:tc>
          <w:tcPr>
            <w:tcW w:w="4161"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1.【法律】《中华人民共和国行政许可法》（2003年主席令第七号公布，2019年4月23日修改）第七十二条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2.【法律】《中华人民共和国行政许可法》（2003年主席令第七号公布，2019年4月23日修改）第七十四条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3.同2。</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4.【法律】《中华人民共和国行政许可法》（2003年主席令第七号公布，2019年4月23日修改）第七十三条 行政机关工作人员办理行政许可、实施监督检查，索取或者收受他人财物或者谋取其他利益，构成犯罪的，依法追究刑事责任；尚不构成犯罪的，依法给予行政处分。</w:t>
            </w:r>
          </w:p>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5.同4.</w:t>
            </w: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 xml:space="preserve">  法律法规规章规定的免责情形以及《自治区党委办公厅关于印发〈深入推进激励干部新时代新担当新作为工作实施方案〉等6个文件的通知》中明确的免责情形。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ascii="仿宋_GB2312" w:hAnsi="仿宋_GB2312" w:eastAsia="仿宋_GB2312" w:cs="仿宋_GB2312"/>
                <w:color w:val="auto"/>
                <w:kern w:val="0"/>
                <w:sz w:val="20"/>
                <w:szCs w:val="20"/>
                <w:highlight w:val="none"/>
                <w:lang w:val="en-US" w:eastAsia="zh-CN" w:bidi="ar"/>
              </w:rPr>
              <w:t>9</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lang w:eastAsia="zh-CN"/>
              </w:rPr>
            </w:pPr>
            <w:r>
              <w:rPr>
                <w:rFonts w:hint="eastAsia" w:ascii="仿宋_GB2312" w:hAnsi="仿宋_GB2312" w:eastAsia="仿宋_GB2312" w:cs="仿宋_GB2312"/>
                <w:b w:val="0"/>
                <w:bCs w:val="0"/>
                <w:color w:val="auto"/>
                <w:sz w:val="20"/>
                <w:szCs w:val="20"/>
                <w:highlight w:val="none"/>
                <w:lang w:eastAsia="zh-CN"/>
              </w:rPr>
              <w:t>行政处罚</w:t>
            </w: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b w:val="0"/>
                <w:bCs w:val="0"/>
                <w:color w:val="auto"/>
                <w:sz w:val="20"/>
                <w:szCs w:val="20"/>
                <w:highlight w:val="none"/>
              </w:rPr>
              <w:t>违反乡村清洁规定行为的处罚</w:t>
            </w: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highlight w:val="no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b w:val="0"/>
                <w:bCs w:val="0"/>
                <w:color w:val="000000"/>
                <w:kern w:val="0"/>
                <w:sz w:val="20"/>
                <w:szCs w:val="20"/>
                <w:highlight w:val="none"/>
                <w:lang w:val="en-US" w:eastAsia="zh-CN" w:bidi="ar-SA"/>
              </w:rPr>
              <w:t>乡村建设综合服务中心（综合行政执法队）</w:t>
            </w:r>
          </w:p>
        </w:tc>
        <w:tc>
          <w:tcPr>
            <w:tcW w:w="2939"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kern w:val="0"/>
                <w:sz w:val="20"/>
                <w:szCs w:val="20"/>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第十九条第三款：任何单位和个人不得在非指定地点倾倒、抛撒或者堆放建筑垃圾。</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对个人处五十元以上二百元以下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sz w:val="20"/>
                <w:szCs w:val="20"/>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1.立案责任：根据日常监管和投诉情况，进行相关监督检查和核实，决定是否立案受理。</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5.决定责任：作出行政处罚决定，制作行政处罚决定书。</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8.监督责任：对行政处罚决定执行情况进行监督检查。</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i w:val="0"/>
                <w:iCs w:val="0"/>
                <w:color w:val="auto"/>
                <w:kern w:val="0"/>
                <w:sz w:val="20"/>
                <w:szCs w:val="20"/>
                <w:highlight w:val="none"/>
                <w:u w:val="none"/>
                <w:lang w:val="en-US" w:eastAsia="zh-CN" w:bidi="ar"/>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符合立案标准的，行政机关应当及时立案。</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执法人员应当文明执法，尊重和保护当事人合法权益。</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公民、法人或者其他组织因行政机关违法给予行政处罚受到损害的，有权依法提出赔偿要求。</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当事人同意并签订确认书的，行政机关可以采用传真、电子邮件等方式，将行政处罚决定书等送达当事人。</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当事人确有经济困难，需要延期或者分期缴纳罚款的，经当事人申请和行政机关批准，可以暂缓或者分期缴纳。</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highlight w:val="none"/>
                <w:u w:val="none"/>
                <w:lang w:val="en-US" w:eastAsia="zh-CN" w:bidi="ar-SA"/>
              </w:rPr>
            </w:pPr>
            <w:r>
              <w:rPr>
                <w:rFonts w:hint="eastAsia" w:ascii="仿宋_GB2312" w:hAnsi="仿宋_GB2312" w:eastAsia="仿宋_GB2312" w:cs="仿宋_GB2312"/>
                <w:i w:val="0"/>
                <w:iCs w:val="0"/>
                <w:color w:val="000000"/>
                <w:kern w:val="0"/>
                <w:sz w:val="20"/>
                <w:szCs w:val="20"/>
                <w:highlight w:val="none"/>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1.没有法律和事实依据实施行政处罚的；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2.行政处罚显失公正的；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4.擅自改变行政处罚种类、幅度的；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5.因处罚不当给当事人造成损失的；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6.不具备行政执法资格实施行政处罚的；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7.违反法定的行政处罚程序的；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8.符合听证条件，行政管理相对人要求听证，应予组织听证而不组织听证的；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9.在行政处罚过程中发生腐败行为的；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11.其他违反法律法规规章文件规定的行为。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highlight w:val="none"/>
                <w:u w:val="none"/>
                <w:lang w:val="en-US" w:eastAsia="zh-CN" w:bidi="ar-SA"/>
              </w:rPr>
            </w:pPr>
            <w:r>
              <w:rPr>
                <w:rFonts w:hint="eastAsia" w:ascii="仿宋_GB2312" w:hAnsi="仿宋_GB2312" w:eastAsia="仿宋_GB2312" w:cs="仿宋_GB2312"/>
                <w:i w:val="0"/>
                <w:iCs w:val="0"/>
                <w:color w:val="000000"/>
                <w:kern w:val="0"/>
                <w:sz w:val="20"/>
                <w:szCs w:val="20"/>
                <w:highlight w:val="none"/>
                <w:u w:val="none"/>
                <w:lang w:val="en-US" w:eastAsia="zh-CN" w:bidi="ar"/>
              </w:rPr>
              <w:t>1.《中华人民共和国行政处罚法》    第五十五条 行政机关实施行政处罚，有下列情形之一的，由上级行政机关或者有关部门责令改正，可以对直接负责的主管人员和其他直接责任人员依法给予行政处分：</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（一）没有法定的行政处罚依据的；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（二）擅自改变行政处罚种类、幅度的；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（三）违反法定的行政处罚程序的；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（四）违反本法第十八条关于委托处罚的规定的。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2.同1.</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3.同1.</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4.同1.</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5.《中华人民共和国行政处罚法》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6.同5.</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7.《中华人民共和国公务员法》  第九章第五十三条 公务员必须遵守纪律，不得有下列行为：（七）贪污、行贿、受贿，利用职务之便为自己或者他人谋取私利。</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8.同2.</w:t>
            </w:r>
          </w:p>
        </w:tc>
        <w:tc>
          <w:tcPr>
            <w:tcW w:w="117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highlight w:val="none"/>
                <w:lang w:val="en-US" w:eastAsia="zh-CN" w:bidi="ar-SA"/>
              </w:rPr>
            </w:pPr>
            <w:r>
              <w:rPr>
                <w:rFonts w:hint="eastAsia" w:ascii="仿宋_GB2312" w:hAnsi="仿宋_GB2312" w:eastAsia="仿宋_GB2312" w:cs="仿宋_GB2312"/>
                <w:i w:val="0"/>
                <w:iCs w:val="0"/>
                <w:color w:val="000000"/>
                <w:kern w:val="0"/>
                <w:sz w:val="20"/>
                <w:szCs w:val="20"/>
                <w:highlight w:val="none"/>
                <w:u w:val="none"/>
                <w:lang w:val="en-US" w:eastAsia="zh-CN" w:bidi="ar"/>
              </w:rPr>
              <w:t>法律法规规定的免责情形及县委、县人民政府有关文件中明确的免责情形。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highlight w:val="none"/>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lang w:eastAsia="zh-CN"/>
              </w:rPr>
            </w:pP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rPr>
            </w:pP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highlight w:val="no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highlight w:val="none"/>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highlight w:val="none"/>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highlight w:val="none"/>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lang w:eastAsia="zh-CN"/>
              </w:rPr>
            </w:pP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rPr>
            </w:pP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highlight w:val="no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highlight w:val="none"/>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highlight w:val="none"/>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highlight w:val="none"/>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lang w:eastAsia="zh-CN"/>
              </w:rPr>
            </w:pP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highlight w:val="none"/>
              </w:rPr>
            </w:pP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highlight w:val="no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highlight w:val="none"/>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highlight w:val="none"/>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highlight w:val="none"/>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3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highlight w:val="none"/>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sz w:val="20"/>
                <w:szCs w:val="20"/>
                <w:highlight w:val="none"/>
                <w:lang w:eastAsia="zh-CN"/>
              </w:rPr>
            </w:pP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sz w:val="20"/>
                <w:szCs w:val="20"/>
                <w:highlight w:val="none"/>
              </w:rPr>
            </w:pP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000000"/>
                <w:kern w:val="2"/>
                <w:sz w:val="20"/>
                <w:szCs w:val="20"/>
                <w:highlight w:val="no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sz w:val="20"/>
                <w:szCs w:val="20"/>
                <w:highlight w:val="none"/>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highlight w:val="none"/>
              </w:rPr>
            </w:pPr>
          </w:p>
        </w:tc>
        <w:tc>
          <w:tcPr>
            <w:tcW w:w="2939" w:type="dxa"/>
            <w:vMerge w:val="continue"/>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0"/>
                <w:sz w:val="20"/>
                <w:szCs w:val="20"/>
                <w:highlight w:val="none"/>
              </w:rPr>
            </w:pPr>
          </w:p>
        </w:tc>
        <w:tc>
          <w:tcPr>
            <w:tcW w:w="2730" w:type="dxa"/>
            <w:vMerge w:val="continue"/>
            <w:shd w:val="clear" w:color="auto" w:fill="FFFFFF"/>
            <w:noWrap w:val="0"/>
            <w:tcMar>
              <w:top w:w="57" w:type="dxa"/>
              <w:left w:w="57" w:type="dxa"/>
              <w:bottom w:w="57" w:type="dxa"/>
              <w:right w:w="57" w:type="dxa"/>
            </w:tcMar>
            <w:vAlign w:val="center"/>
          </w:tcPr>
          <w:p>
            <w:pPr>
              <w:adjustRightInd w:val="0"/>
              <w:snapToGrid w:val="0"/>
              <w:spacing w:line="257" w:lineRule="exact"/>
              <w:jc w:val="left"/>
              <w:rPr>
                <w:rFonts w:hint="eastAsia" w:ascii="仿宋_GB2312" w:hAnsi="仿宋_GB2312" w:eastAsia="仿宋_GB2312" w:cs="仿宋_GB2312"/>
                <w:b w:val="0"/>
                <w:bCs w:val="0"/>
                <w:color w:val="000000"/>
                <w:sz w:val="20"/>
                <w:szCs w:val="20"/>
                <w:highlight w:val="none"/>
              </w:rPr>
            </w:pPr>
          </w:p>
        </w:tc>
        <w:tc>
          <w:tcPr>
            <w:tcW w:w="3811" w:type="dxa"/>
            <w:vMerge w:val="continue"/>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highlight w:val="none"/>
                <w:lang w:val="en-US" w:eastAsia="zh-CN" w:bidi="ar-SA"/>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sz w:val="20"/>
                <w:szCs w:val="20"/>
                <w:highlight w:val="none"/>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highlight w:val="none"/>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对违反规定擅自占用和损坏乡村公共设施行为的处罚</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lef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b w:val="0"/>
                <w:bCs w:val="0"/>
                <w:color w:val="000000"/>
                <w:kern w:val="0"/>
                <w:sz w:val="20"/>
                <w:szCs w:val="20"/>
                <w:highlight w:val="none"/>
                <w:lang w:val="en-US" w:eastAsia="zh-CN" w:bidi="ar-SA"/>
              </w:rPr>
              <w:t>乡村建设综合服务中心（综合行政执法队）</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【地方性法规】《广西壮族自治区乡村规划建设管理条例》（2018年广西壮族自治区第十三届人民代表大会常务委员会公告第13号）第五十条第二款：任何单位和个人不得擅自占用和损坏乡村公共设施。</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1.立案责任：根据日常监管和投诉情况，进行相关监督检查和核实，决定是否立案受理。</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2.调查取证责任：对立案的案件展开调查和取证，制作调查笔录，调查结束出具书面调查终结报告。在调查取证时，应由2名以上执法人员参加，并向当事人出示有效的行政执法证件，允许当事人辩解陈述。</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3.审查核实责任：按照有关规定对案件违法事实、证据、调查取证程序、法律适用、处罚种类和幅度、当事人陈述和申辩理由等方面进行审查，提出处理意见（主要证据不足时，以适当的方式补充调查）。</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4.告知责任：作出行政处罚决定前，制作《行政处罚告知书》送达当事人，告知违法事实及其享有的陈述、申辩等权利。符合听证规定的，制作并送达《行政处罚听证告知书》。</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5.决定责任：作出行政处罚决定，制作行政处罚决定书。</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6.送达责任：行政处罚决定书应当在宣告后当场交付当事人；当事人不在场的，行政机关应当在七日内依照民事诉讼法的有关规定，将行政处罚决定书送达当事人。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7.执行责任：监督当事人在决定的期限内，履行生效的行政处罚决定。当事人在法定期限内不申请行政复议或者提起行政诉讼，又不履行的，可依法采取申请人民法院强制执行。</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8.监督责任：对行政处罚决定执行情况进行监督检查。</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1-1.【法律】《中华人民共和国行政处罚法》第四十条：公民、法人或者其他组织违反行政管理秩序的行为，依法应当给予行政处罚的，行政机关必须查明事实；违法事实不清、证据不足的，不得给予行政处罚。</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符合立案标准的，行政机关应当及时立案。</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2-2.【法律】《中华人民共和国行政处罚法》第四十二条：行政处罚应当由具有行政执法资格的执法人员实施。执法人员不得少于两人，法律另有规定的除外。</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执法人员应当文明执法，尊重和保护当事人合法权益。</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4-1.【法律】《中华人民共和国行政处罚法》第七条：公民、法人或者其他组织对行政机关所给予的行政处罚，享有陈述权、申辩权；对行政处罚不服的，有权依法申请行政复议或者提起行政诉讼。</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公民、法人或者其他组织因行政机关违法给予行政处罚受到损害的，有权依法提出赔偿要求。</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当事人同意并签订确认书的，行政机关可以采用传真、电子邮件等方式，将行政处罚决定书等送达当事人。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7-1.【法律】《中华人民共和国行政处罚法》第六十六条：行政处罚决定依法作出后，当事人应当在行政处罚决定书载明的期限内，予以履行。</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当事人确有经济困难，需要延期或者分期缴纳罚款的，经当事人申请和行政机关批准，可以暂缓或者分期缴纳。</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7-2.【部门规章】《住房和城乡建设行政处罚程序规定》（2022年建设部令第55号）第三十八条：当事人不履行行政处罚决定，执法机关可以依法强制执行或者申请人民法院强制执行。</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i w:val="0"/>
                <w:iCs w:val="0"/>
                <w:color w:val="000000"/>
                <w:kern w:val="0"/>
                <w:sz w:val="20"/>
                <w:szCs w:val="20"/>
                <w:highlight w:val="none"/>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1.没有法律和事实依据实施行政处罚的；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2.行政处罚显失公正的；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4.擅自改变行政处罚种类、幅度的；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5.因处罚不当给当事人造成损失的；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6.不具备行政执法资格实施行政处罚的；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7.违反法定的行政处罚程序的；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8.符合听证条件，行政管理相对人要求听证，应予组织听证而不组织听证的；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9.在行政处罚过程中发生腐败行为的；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11.其他违反法律法规规章文件规定的行为。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i w:val="0"/>
                <w:iCs w:val="0"/>
                <w:color w:val="000000"/>
                <w:kern w:val="0"/>
                <w:sz w:val="20"/>
                <w:szCs w:val="20"/>
                <w:highlight w:val="none"/>
                <w:u w:val="none"/>
                <w:lang w:val="en-US" w:eastAsia="zh-CN" w:bidi="ar"/>
              </w:rPr>
              <w:t>1.《中华人民共和国行政处罚法》    第五十五条 行政机关实施行政处罚，有下列情形之一的，由上级行政机关或者有关部门责令改正，可以对直接负责的主管人员和其他直接责任人员依法给予行政处分：</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（一）没有法定的行政处罚依据的；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（二）擅自改变行政处罚种类、幅度的；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（三）违反法定的行政处罚程序的；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（四）违反本法第十八条关于委托处罚的规定的。</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2.同1.</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3.同1.</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4.同1.</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5.《中华人民共和国行政处罚法》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6.同5.</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7.《中华人民共和国公务员法》  第九章第五十三条 公务员必须遵守纪律，不得有下列行为：（七）贪污、行贿、受贿，利用职务之便为自己或者他人谋取私利。</w:t>
            </w:r>
            <w:r>
              <w:rPr>
                <w:rFonts w:hint="eastAsia" w:ascii="仿宋_GB2312" w:hAnsi="仿宋_GB2312" w:eastAsia="仿宋_GB2312" w:cs="仿宋_GB2312"/>
                <w:i w:val="0"/>
                <w:iCs w:val="0"/>
                <w:color w:val="000000"/>
                <w:kern w:val="0"/>
                <w:sz w:val="20"/>
                <w:szCs w:val="20"/>
                <w:highlight w:val="none"/>
                <w:u w:val="none"/>
                <w:lang w:val="en-US" w:eastAsia="zh-CN" w:bidi="ar"/>
              </w:rPr>
              <w:br w:type="textWrapping"/>
            </w:r>
            <w:r>
              <w:rPr>
                <w:rFonts w:hint="eastAsia" w:ascii="仿宋_GB2312" w:hAnsi="仿宋_GB2312" w:eastAsia="仿宋_GB2312" w:cs="仿宋_GB2312"/>
                <w:i w:val="0"/>
                <w:iCs w:val="0"/>
                <w:color w:val="000000"/>
                <w:kern w:val="0"/>
                <w:sz w:val="20"/>
                <w:szCs w:val="20"/>
                <w:highlight w:val="none"/>
                <w:u w:val="none"/>
                <w:lang w:val="en-US" w:eastAsia="zh-CN" w:bidi="ar"/>
              </w:rPr>
              <w:t>8.同2.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000000"/>
                <w:kern w:val="2"/>
                <w:sz w:val="20"/>
                <w:szCs w:val="20"/>
                <w:highlight w:val="none"/>
                <w:u w:val="none"/>
                <w:lang w:val="en-US" w:eastAsia="zh-CN" w:bidi="ar-SA"/>
              </w:rPr>
            </w:pPr>
            <w:r>
              <w:rPr>
                <w:rFonts w:hint="eastAsia" w:ascii="仿宋_GB2312" w:hAnsi="仿宋_GB2312" w:eastAsia="仿宋_GB2312" w:cs="仿宋_GB2312"/>
                <w:i w:val="0"/>
                <w:iCs w:val="0"/>
                <w:color w:val="000000"/>
                <w:kern w:val="0"/>
                <w:sz w:val="20"/>
                <w:szCs w:val="20"/>
                <w:highlight w:val="none"/>
                <w:u w:val="none"/>
                <w:lang w:val="en-US" w:eastAsia="zh-CN" w:bidi="ar"/>
              </w:rPr>
              <w:t>法律法规规定的免责情形及县委、县人民政府有关文件中明确的免责情形。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代为恢复植被和林业生产条件或代为补种树木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highlight w:val="none"/>
                <w:lang w:val="en-US" w:eastAsia="zh-CN" w:bidi="ar-SA"/>
              </w:rPr>
            </w:pPr>
            <w:r>
              <w:rPr>
                <w:rFonts w:hint="eastAsia" w:ascii="仿宋_GB2312" w:hAnsi="仿宋_GB2312" w:eastAsia="仿宋_GB2312" w:cs="仿宋_GB2312"/>
                <w:snapToGrid w:val="0"/>
                <w:sz w:val="20"/>
                <w:szCs w:val="20"/>
                <w:highlight w:val="none"/>
              </w:rPr>
              <w:t>林业工作站</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【法律】《中华人民共和国森林法》（2019年12月28日主席令第三十九号公布，2020年7月1日起施行)第八十一条　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    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1.审查催告责任 ：审查当事人是否逾期未履行义务；书面催告当事人履行义务的期限、方式（涉及金钱给付的，明确告知金额和给付方式）及享有的陈述权和申辩权，催告当事人履行义务。</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2.决定责任（XXX处室站/科室/股、XXX局领导）：充分听取当事人提出的事实、理由和证据，进行记录和复核，无正当理由的，向本行政机关负责人报告，经批准作出代履行决定书并送达当事人。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3.代履行责任 ：代履行三日前，催告当事人履行，当事人履行的，停止代履行；代履行时到场监督；代履行完毕，到场监督的工作人员、代履行人和当事人或者见证人在执行文书上签名或者盖章。</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4.追缴代履行费用责任 ：核算代履行费用，并向被履行单位追缴费用。</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5.其他法律法规规章文件规定应履行的责任  。</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1.【法律】《中华人民共和国行政强制法》（2011年6月30日主席令第49号发布，2012年1月1日起施行）第三十五条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2.【法律】《中华人民共和国行政强制法》（2011年6月30日主席令第49号发布，2012年1月1日起施行）第五十条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3.【法律】《中华人民共和国行政强制法》（2011年6月30日主席令第49号发布，2012年1月1日起施行）第五十一条第一款 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4.【法律】《中华人民共和国行政强制法》（2011年6月30日主席令第49号发布，2012年1月1日起施行）第五十一条第二款 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因不履行或不正确履行行政职责，有下列情形的，行政机关及相关工作人员应承担相应责任：</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1.无法定依据或者超越法定权限实施行政强制的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2.违反法定程序实施行政强制的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3.不具备行政执法资格实施行政强制的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4.使用、丢失或损毁先行登记的财物，给行政相对人造成损失的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5.在实施行政强制过程中滥用职权、玩忽职守、徇私舞弊的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6.利用行政强制权为单位或者个人谋取利益的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2.同1.</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3.同1.</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 xml:space="preserve"> 1.设定依据《森林法》更新调整。</w:t>
            </w:r>
          </w:p>
          <w:p>
            <w:pPr>
              <w:adjustRightInd w:val="0"/>
              <w:snapToGrid w:val="0"/>
              <w:spacing w:line="300" w:lineRule="exact"/>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 xml:space="preserve">    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最低生活保障救助资金的给付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公共事务服务中心（社会保障和公共文化服务中心）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第十二条 对批准获得最低生活保障的家庭，县级人民政府民政部门按照共同生活的家庭成员人均收入低于当地最低生活保障标准的差额，按月发给最低生活保障金。</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对获得最低生活保障后生活仍有困难的老年人、未成年人、重度残疾人和重病患者，县级以上地方人民政府应当采取必要措施给予生活保障。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1.审查责任：材料审核（主要包括申请人及申请享受低保的成员的户口本、身份证原件；困难证明材料；《广西申请社会救助家庭经济状况核对授权书》，并签字按手印等材料）。</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2.审批责任：进行审批，按时办结（予以批准，进行公布；不予批准，书面说明理由）。</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3.监管责任：建立监督管理机制，定期核查，针对不同情况采取管理措施。</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4.给付责任：按照相关规定，按月发放最低生活保障金。</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3-2.同2-2。</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8.截留、挤占、挪用、私分社会救助资金、物资的；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9.其他违反法律法规规定的行为。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临时救助</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lang w:val="en-US" w:eastAsia="zh-CN"/>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公共事务服务中心（社会保障和公共文化服务中心）【</w:t>
            </w:r>
            <w:r>
              <w:rPr>
                <w:rFonts w:hint="eastAsia" w:ascii="仿宋_GB2312" w:hAnsi="仿宋_GB2312" w:eastAsia="仿宋_GB2312" w:cs="仿宋_GB2312"/>
                <w:color w:val="auto"/>
                <w:kern w:val="0"/>
                <w:sz w:val="20"/>
                <w:szCs w:val="20"/>
                <w:highlight w:val="none"/>
              </w:rPr>
              <w:t>给付金额在当地城市低保标准年度总额的0.5倍以内的管理权限在乡镇一级</w:t>
            </w:r>
            <w:r>
              <w:rPr>
                <w:rFonts w:hint="eastAsia" w:ascii="仿宋_GB2312" w:hAnsi="仿宋_GB2312" w:eastAsia="仿宋_GB2312" w:cs="仿宋_GB2312"/>
                <w:b w:val="0"/>
                <w:bCs w:val="0"/>
                <w:color w:val="auto"/>
                <w:kern w:val="0"/>
                <w:sz w:val="20"/>
                <w:szCs w:val="20"/>
                <w:highlight w:val="none"/>
                <w:lang w:val="en-US" w:eastAsia="zh-CN" w:bidi="ar-SA"/>
              </w:rPr>
              <w:t>】</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88" w:leftChars="18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1.审查责任：审查是否符合临时救助的情形。</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2.公示责任：对符合条件的人员名单进行公示。</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3.审批责任：及时审批，按时办结。</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4.给付责任：发放临时救助金。</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1-1.【法律】《中华人民共和国行政许可法》第三十四条 行政机关应当对申请人提交的申请材料进行审查。</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申请人提交的申请材料齐全、符合法定形式，行政机关能够当场作出决定的，应当当场作出书面的行政许可决定。</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根据法定条件和程序，需要对申请材料的实质内容进行核实的，行政机关应当指派两名以上工作人员进行核查。</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行政机关依法作出不予行政许可的书面决定的，应当说明理由，并告知申请人享有依法申请行政复议或者提起行政诉讼的权利。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2-2.同1-2。</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行政机关依法作出不予行政许可的书面决定的，应当说明理由，并告知申请人享有依法申请行政复议或者提起行政诉讼的权利。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3-2.同1-2。</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8. 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9.其他违反法律法规规定的行为。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highlight w:val="none"/>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2.发放资金由县级民政部门给付。</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特困人员救助供养</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lang w:val="en-US" w:eastAsia="zh-CN"/>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公共事务服务中心（社会保障和公共文化服务中心）【</w:t>
            </w:r>
            <w:r>
              <w:rPr>
                <w:rFonts w:hint="eastAsia" w:ascii="仿宋_GB2312" w:hAnsi="仿宋_GB2312" w:eastAsia="仿宋_GB2312" w:cs="仿宋_GB2312"/>
                <w:color w:val="auto"/>
                <w:kern w:val="0"/>
                <w:sz w:val="20"/>
                <w:szCs w:val="20"/>
                <w:highlight w:val="none"/>
              </w:rPr>
              <w:t>认定管理权限在乡镇一级</w:t>
            </w:r>
            <w:r>
              <w:rPr>
                <w:rFonts w:hint="eastAsia" w:ascii="仿宋_GB2312" w:hAnsi="仿宋_GB2312" w:eastAsia="仿宋_GB2312" w:cs="仿宋_GB2312"/>
                <w:b w:val="0"/>
                <w:bCs w:val="0"/>
                <w:color w:val="auto"/>
                <w:kern w:val="0"/>
                <w:sz w:val="20"/>
                <w:szCs w:val="20"/>
                <w:highlight w:val="none"/>
                <w:lang w:val="en-US" w:eastAsia="zh-CN" w:bidi="ar-SA"/>
              </w:rPr>
              <w:t>】</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【行政法规】《社会救助暂行办法》（2014年国务院令649号发布，2019年国务院令709号修订）第三条 ……县级以上地方人民政府民政、应急管理、卫生健康、教育、住房城乡建设、人力资源社会保障、医疗保障等部门，按照各自职责负责本行政区域内享有的社会救助管理工作。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第十五条  特困人员供养的内容包括：（一）提供基本生活条件；（二）对生活不能自理的给予照料；（三）提供疾病治疗；（四）办理丧葬事宜。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特困人员供养标准，由省、自治区、直辖市或者设区的市级人民政府确定、公布。</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特困人员供养应当与城乡居民基本养老保险、基本医疗保障、最低生活保障、孤儿基本生活保障等制度相衔接。</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1.审查责任：材料审核（申请特困的书面证明材料等）。</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2.审批责任：进行审批，按时办结（予以批准，发放证书，进行公布；不予批准，书面说明理由）。</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3.监管责任：建立监督管理机制，定期核查，针对不同情况采取管理措施。</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4.给付责任：给予城乡特困人员供养。</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1.【法律】《中华人民共和国行政许可法》第三十四条 行政机关应当对申请人提交的申请材料进行审查。</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申请人提交的申请材料齐全、符合法定形式，行政机关能够当场作出决定的，应当当场作出书面的行政许可决定。</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根据法定条件和程序，需要对申请材料的实质内容进行核实的，行政机关应当指派两名以上工作人员进行核查。</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2-1.【法律】《中华人民共和国行政许可法》第三十七条 行政机关对行政许可申请进行审查后，除当场作出行政许可决定的外，应当在法定期限内按照规定程序作出行政许可决定。</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第三十八条 申请人的申请符合法定条件、标准的，行政机关应当依法作出准予行政许可的书面决定。</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行政机关依法作出不予行政许可的书面决定的，应当说明理由，并告知申请人享有依法申请行政复议或者提起行政诉讼的权利。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第四十条 行政机关作出的准予行政许可决定，应当予以公开，公众有权查阅。</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3-1.【法律】《中华人民共和国行政许可法》第六十一条 行政机关应当建立健全监督制度，通过核查反映被许可人从事行政许可事项活动情况的有关材料，履行监督责任。</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农村五保供养对象死亡，丧葬事宜办理完毕后，村民委员会或者农村五保供养服务机构应当向乡、民族乡、镇人民政府报告，由乡、民族乡、镇人民政府报县级人民政府民政部门核准后，核销其《农村五保供养证书》。</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第十五条  特困人员供养的内容包括：</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（一）提供基本生活条件；</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（二）对生活不能自理的给予照料；</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（三）提供疾病治疗；（四）办理丧葬事宜。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特困人员供养标准，由省、自治区、直辖市或者设区的市级人民政府确定、公布。</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 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8. 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9.其他违反法律法规规定的行为。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highlight w:val="none"/>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 xml:space="preserve">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  </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困难残疾人生活补贴和重度残疾人护理补贴</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1.困难残疾人生活补贴给付</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lang w:val="en-US" w:eastAsia="zh-CN" w:bidi="ar-SA"/>
              </w:rPr>
              <w:t>公共事务服务中心（社会保障和公共文化服务中心）</w:t>
            </w:r>
            <w:r>
              <w:rPr>
                <w:rFonts w:hint="eastAsia" w:ascii="仿宋_GB2312" w:hAnsi="仿宋_GB2312" w:eastAsia="仿宋_GB2312" w:cs="仿宋_GB2312"/>
                <w:color w:val="auto"/>
                <w:kern w:val="0"/>
                <w:sz w:val="20"/>
                <w:szCs w:val="20"/>
                <w:highlight w:val="none"/>
                <w:lang w:eastAsia="zh-CN"/>
              </w:rPr>
              <w:t>【</w:t>
            </w:r>
            <w:r>
              <w:rPr>
                <w:rFonts w:hint="eastAsia" w:ascii="仿宋_GB2312" w:hAnsi="仿宋_GB2312" w:eastAsia="仿宋_GB2312" w:cs="仿宋_GB2312"/>
                <w:color w:val="auto"/>
                <w:kern w:val="0"/>
                <w:sz w:val="20"/>
                <w:szCs w:val="20"/>
                <w:highlight w:val="none"/>
              </w:rPr>
              <w:t>认定管理权限在乡镇一级</w:t>
            </w:r>
            <w:r>
              <w:rPr>
                <w:rFonts w:hint="eastAsia" w:ascii="仿宋_GB2312" w:hAnsi="仿宋_GB2312" w:eastAsia="仿宋_GB2312" w:cs="仿宋_GB2312"/>
                <w:color w:val="auto"/>
                <w:kern w:val="0"/>
                <w:sz w:val="20"/>
                <w:szCs w:val="20"/>
                <w:highlight w:val="none"/>
                <w:lang w:eastAsia="zh-CN"/>
              </w:rPr>
              <w:t>】</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1.【法律】《中华人民共和国残疾人保障法》第四十八条 各级人民政府对生活确有困难的残疾人，通过多种渠道给予生活、教育、住房和其他社会救助。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县级以上地方人民政府对享受最低生活保障待遇后生活仍有特别困难的残疾人家庭，应当采取其他措施保障其基本生活。</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各级人民政府对贫困残疾人的基本医疗、康复服务、必要的辅助器具的配置和更换，应当按照规定给予救助。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对生活不能自理的残疾人，地方各级人民政府应当根据情况给予护理补贴。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1.审核责任：审核申请人是否符合获得补贴的资格，并发放残疾人补贴。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2.监督管理责任：监督管理各地方的补贴发放情况。</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3.评定责任：困难残疾人生活补贴对象为户籍在广西壮族自治区的最低生活保障家庭中的残疾人。</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4.给付责任：对符合条件的残疾人，地方各级人民政府根据情况给予相应补贴。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2.同1。</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4-1.【法律】《中华人民共和国残疾人保障法》第四十八条 各级人民政府对生活确有困难的残疾人，通过多种渠道给予生活、教育、住房和其他社会救助。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各级人民政府对贫困残疾人的基本医疗、康复服务、必要的辅助器具的配置和更换，应当按照规定给予救助。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对生活不能自理的残疾人，地方各级人民政府应当根据情况给予护理补贴。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1.侵害残疾人的合法权益的；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2.未依法履行职责，对侵害残疾人权益的行为未及时制止或者未给予受害残疾人必要帮助的；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3.其他违反法律法规规定的情形。</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highlight w:val="none"/>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《中华人民共和国残疾人保障法》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第五十九条　残疾人的合法权益受到侵害的，可以向残疾人组织投诉，残疾人组织应当维护残疾人的合法权益，有权要求有关部门或者单位查处。有关部门或者单位应当依法查处，并予以答复。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残疾人组织对残疾人通过诉讼维护其合法权益需要帮助的，应当给予支持。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残疾人组织对侵害特定残疾人群体利益的行为，有权要求有关部门依法查处。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第六十七条　违反本法规定，侵害残疾人的合法权益，其他法律、法规规定行政处罚的，从其规定；造成财产损失或者其他损害的，依法承担民事责任；构成犯罪的，依法追究刑事责任。</w:t>
            </w:r>
          </w:p>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FF0000"/>
                <w:kern w:val="0"/>
                <w:sz w:val="20"/>
                <w:szCs w:val="20"/>
                <w:highlight w:val="none"/>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FF0000"/>
                <w:kern w:val="0"/>
                <w:sz w:val="20"/>
                <w:szCs w:val="20"/>
                <w:highlight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FF0000"/>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2.重度残疾人护理补贴给付</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right="-31" w:rightChars="-15"/>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公共事务服务中心（社会保障和公共文化服务中心）</w:t>
            </w:r>
            <w:r>
              <w:rPr>
                <w:rFonts w:hint="eastAsia" w:ascii="仿宋_GB2312" w:hAnsi="仿宋_GB2312" w:eastAsia="仿宋_GB2312" w:cs="仿宋_GB2312"/>
                <w:snapToGrid w:val="0"/>
                <w:sz w:val="20"/>
                <w:szCs w:val="20"/>
                <w:highlight w:val="none"/>
                <w:lang w:val="en-US" w:eastAsia="zh-CN"/>
              </w:rPr>
              <w:t>【</w:t>
            </w:r>
            <w:r>
              <w:rPr>
                <w:rFonts w:hint="eastAsia" w:ascii="仿宋_GB2312" w:hAnsi="仿宋_GB2312" w:eastAsia="仿宋_GB2312" w:cs="仿宋_GB2312"/>
                <w:color w:val="auto"/>
                <w:kern w:val="0"/>
                <w:sz w:val="20"/>
                <w:szCs w:val="20"/>
                <w:highlight w:val="none"/>
              </w:rPr>
              <w:t>认定管理权限在乡镇一级</w:t>
            </w:r>
            <w:r>
              <w:rPr>
                <w:rFonts w:hint="eastAsia" w:ascii="仿宋_GB2312" w:hAnsi="仿宋_GB2312" w:eastAsia="仿宋_GB2312" w:cs="仿宋_GB2312"/>
                <w:snapToGrid w:val="0"/>
                <w:sz w:val="20"/>
                <w:szCs w:val="20"/>
                <w:highlight w:val="none"/>
                <w:lang w:val="en-US" w:eastAsia="zh-CN"/>
              </w:rPr>
              <w:t>】</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1.审核责任：审核申请人是否符合获得补贴的资格，并发放残疾人补贴。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2.监督管理责任：监督管理各地方的补贴发放情况。</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3.评定责任：重度残疾人护理补贴对象为户籍在广西壮族自治区的残疾等级被评定为一级、二级且需要长期照护的重度残疾人及三级、四级精神残疾的残疾人。</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4.给付责任：对符合条件的残疾人，地方各级人民政府根据情况给予相应补贴。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2.同1。</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3-2.【规范性文件】《广西壮族自治区民政厅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4-1.【法律】《中华人民共和国残疾人保障法》第四十八条 各级人民政府对生活确有困难的残疾人，通过多种渠道给予生活、教育、住房和其他社会救助。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各级人民政府对贫困残疾人的基本医疗、康复服务、必要的辅助器具的配置和更换，应当按照规定给予救助。</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对生活不能自理的残疾人，地方各级人民政府应当根据情况给予护理补贴。</w:t>
            </w:r>
            <w:r>
              <w:rPr>
                <w:rFonts w:hint="eastAsia" w:ascii="仿宋_GB2312" w:hAnsi="仿宋_GB2312" w:eastAsia="仿宋_GB2312" w:cs="仿宋_GB2312"/>
                <w:color w:val="auto"/>
                <w:kern w:val="0"/>
                <w:sz w:val="20"/>
                <w:szCs w:val="20"/>
                <w:highlight w:val="none"/>
              </w:rPr>
              <w:br w:type="textWrapping"/>
            </w:r>
            <w:r>
              <w:rPr>
                <w:rFonts w:hint="eastAsia" w:ascii="仿宋_GB2312" w:hAnsi="仿宋_GB2312" w:eastAsia="仿宋_GB2312" w:cs="仿宋_GB2312"/>
                <w:color w:val="auto"/>
                <w:kern w:val="0"/>
                <w:sz w:val="20"/>
                <w:szCs w:val="20"/>
                <w:highlight w:val="none"/>
              </w:rPr>
              <w:t xml:space="preserve">    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1.侵害残疾人的合法权益的；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2.未依法履行职责，对侵害残疾人权益的行为未及时制止或者未给予受害残疾人必要帮助的；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3.其他违反法律法规规定的情形。</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highlight w:val="none"/>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《中华人民共和国残疾人保障法》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第五十九条　残疾人的合法权益受到侵害的，可以向残疾人组织投诉，残疾人组织应当维护残疾人的合法权益，有权要求有关部门或者单位查处。有关部门或者单位应当依法查处，并予以答复。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残疾人组织对残疾人通过诉讼维护其合法权益需要帮助的，应当给予支持。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残疾人组织对侵害特定残疾人群体利益的行为，有权要求有关部门依法查处。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第六十七条　违反本法规定，侵害残疾人的合法权益，其他法律、法规规定行政处罚的，从其规定；造成财产损失或者其他损害的，依法承担民事责任；构成犯罪的，依法追究刑事责任。</w:t>
            </w:r>
          </w:p>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对草原保护、建设和利用情况的监督检查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林业工作站</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【法律】《中华人民共和国草原法》第八</w:t>
            </w:r>
            <w:r>
              <w:rPr>
                <w:rFonts w:hint="eastAsia" w:ascii="仿宋_GB2312" w:hAnsi="仿宋_GB2312" w:eastAsia="仿宋_GB2312" w:cs="仿宋_GB2312"/>
                <w:kern w:val="0"/>
                <w:sz w:val="20"/>
                <w:szCs w:val="20"/>
                <w:highlight w:val="none"/>
                <w:lang w:eastAsia="zh-CN"/>
              </w:rPr>
              <w:t>条：</w:t>
            </w:r>
            <w:r>
              <w:rPr>
                <w:rFonts w:hint="eastAsia" w:ascii="仿宋_GB2312" w:hAnsi="仿宋_GB2312" w:eastAsia="仿宋_GB2312" w:cs="仿宋_GB2312"/>
                <w:kern w:val="0"/>
                <w:sz w:val="20"/>
                <w:szCs w:val="20"/>
                <w:highlight w:val="none"/>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1.选案责任：根据随机抽查细则、举报或上级安排以及日常管理中发现的问题确定检查对象。一般需提前1—2日通知被检查对象。</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3.处理责任：核实检查报告及其他有关材料，对违法行为做出处理决定。</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因不履行或不正确履行行政职责，有下列情形的，行政机关及相关工作人员应承担相应责任：</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1.不履行或不正确履行职责，对检查工作没有认真执行的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2.在监督检查中玩忽职守、徇私舞弊的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3.在监督检查中滥用职权，谋取不正当利益和发生腐败行为的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4.其他违反法律法规规章文件规定的行为  ）。</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2.同1.</w:t>
            </w:r>
          </w:p>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 xml:space="preserve"> 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对生产经营单位提取、使用和管理安全费用情况的监督检查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二十三条：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2.【规范性文件】《企业安全生产费用提取和使用管理办法》（财企〔2012〕16号）第三十五条：各级财政部门、安全生产监督管理部门、煤矿安全监察机构和有关行业主管部门依法对企业安全费用提取、使用和管理进行监督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w:t>
            </w:r>
            <w:r>
              <w:rPr>
                <w:rFonts w:hint="eastAsia" w:ascii="仿宋_GB2312" w:hAnsi="仿宋_GB2312" w:eastAsia="仿宋_GB2312" w:cs="仿宋_GB2312"/>
                <w:color w:val="000000"/>
                <w:kern w:val="0"/>
                <w:sz w:val="20"/>
                <w:szCs w:val="20"/>
                <w:highlight w:val="none"/>
                <w:lang w:eastAsia="zh-CN"/>
              </w:rPr>
              <w:t>《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w:t>
            </w:r>
            <w:r>
              <w:rPr>
                <w:rFonts w:hint="eastAsia" w:ascii="仿宋_GB2312" w:hAnsi="仿宋_GB2312" w:eastAsia="仿宋_GB2312" w:cs="仿宋_GB2312"/>
                <w:color w:val="000000"/>
                <w:kern w:val="0"/>
                <w:sz w:val="20"/>
                <w:szCs w:val="20"/>
                <w:highlight w:val="none"/>
              </w:rPr>
              <w:t>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highlight w:val="none"/>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对生产经营单位消除重大事故隐患的监督检查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default"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default"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lang w:val="en-US" w:eastAsia="zh-CN" w:bidi="ar-SA"/>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highlight w:val="none"/>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对安全生产评价、检验、检测机构的监督检查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sz w:val="20"/>
                <w:szCs w:val="20"/>
                <w:highlight w:val="none"/>
                <w:lang w:val="en-US" w:eastAsia="zh-CN"/>
              </w:rPr>
              <w:t>三江侗族自治县</w:t>
            </w:r>
            <w:r>
              <w:rPr>
                <w:rFonts w:hint="eastAsia" w:ascii="仿宋_GB2312" w:hAnsi="仿宋_GB2312" w:eastAsia="仿宋_GB2312" w:cs="仿宋_GB2312"/>
                <w:snapToGrid w:val="0"/>
                <w:sz w:val="20"/>
                <w:szCs w:val="20"/>
                <w:highlight w:val="none"/>
                <w:lang w:eastAsia="zh-CN"/>
              </w:rPr>
              <w:t>古宜镇</w:t>
            </w:r>
            <w:r>
              <w:rPr>
                <w:rFonts w:hint="eastAsia" w:ascii="仿宋_GB2312" w:hAnsi="仿宋_GB2312" w:eastAsia="仿宋_GB2312" w:cs="仿宋_GB2312"/>
                <w:snapToGrid w:val="0"/>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w:t>
            </w:r>
            <w:r>
              <w:rPr>
                <w:rFonts w:hint="eastAsia" w:ascii="仿宋_GB2312" w:hAnsi="仿宋_GB2312" w:eastAsia="仿宋_GB2312" w:cs="仿宋_GB2312"/>
                <w:color w:val="000000"/>
                <w:kern w:val="0"/>
                <w:sz w:val="20"/>
                <w:szCs w:val="20"/>
                <w:highlight w:val="none"/>
                <w:lang w:eastAsia="zh-CN"/>
              </w:rPr>
              <w:t>中华人民共和国安全生产法</w:t>
            </w:r>
            <w:r>
              <w:rPr>
                <w:rFonts w:hint="eastAsia" w:ascii="仿宋_GB2312" w:hAnsi="仿宋_GB2312" w:eastAsia="仿宋_GB2312" w:cs="仿宋_GB2312"/>
                <w:color w:val="000000"/>
                <w:kern w:val="0"/>
                <w:sz w:val="20"/>
                <w:szCs w:val="20"/>
                <w:highlight w:val="none"/>
              </w:rPr>
              <w:t>》第九十条</w:t>
            </w:r>
            <w:r>
              <w:rPr>
                <w:rFonts w:hint="eastAsia" w:ascii="仿宋_GB2312" w:hAnsi="仿宋_GB2312" w:eastAsia="仿宋_GB2312" w:cs="仿宋_GB2312"/>
                <w:color w:val="000000"/>
                <w:kern w:val="0"/>
                <w:sz w:val="20"/>
                <w:szCs w:val="20"/>
                <w:highlight w:val="none"/>
                <w:lang w:eastAsia="zh-CN"/>
              </w:rPr>
              <w:t>：</w:t>
            </w:r>
            <w:r>
              <w:rPr>
                <w:rFonts w:hint="eastAsia" w:ascii="仿宋_GB2312" w:hAnsi="仿宋_GB2312" w:eastAsia="仿宋_GB2312" w:cs="仿宋_GB2312"/>
                <w:color w:val="000000"/>
                <w:kern w:val="0"/>
                <w:sz w:val="20"/>
                <w:szCs w:val="20"/>
                <w:highlight w:val="none"/>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对非煤矿山企业劳动条件、安全状况、作业场所、生产设备、职工安全教育和培训工作等情况的监督检查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（三）检查矿山劳动条件和安全状况；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（六）参加并监督矿山事故的调查和处理；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w:t>
            </w:r>
            <w:r>
              <w:rPr>
                <w:rFonts w:hint="eastAsia" w:ascii="仿宋_GB2312" w:hAnsi="仿宋_GB2312" w:eastAsia="仿宋_GB2312" w:cs="仿宋_GB2312"/>
                <w:color w:val="000000"/>
                <w:kern w:val="0"/>
                <w:sz w:val="20"/>
                <w:szCs w:val="20"/>
                <w:highlight w:val="none"/>
                <w:lang w:eastAsia="zh-CN"/>
              </w:rPr>
              <w:t>中华人民共和国安全生产法</w:t>
            </w:r>
            <w:r>
              <w:rPr>
                <w:rFonts w:hint="eastAsia" w:ascii="仿宋_GB2312" w:hAnsi="仿宋_GB2312" w:eastAsia="仿宋_GB2312" w:cs="仿宋_GB2312"/>
                <w:color w:val="000000"/>
                <w:kern w:val="0"/>
                <w:sz w:val="20"/>
                <w:szCs w:val="20"/>
                <w:highlight w:val="none"/>
              </w:rPr>
              <w:t>》第九十条</w:t>
            </w:r>
            <w:r>
              <w:rPr>
                <w:rFonts w:hint="eastAsia" w:ascii="仿宋_GB2312" w:hAnsi="仿宋_GB2312" w:eastAsia="仿宋_GB2312" w:cs="仿宋_GB2312"/>
                <w:color w:val="000000"/>
                <w:kern w:val="0"/>
                <w:sz w:val="20"/>
                <w:szCs w:val="20"/>
                <w:highlight w:val="none"/>
                <w:lang w:eastAsia="zh-CN"/>
              </w:rPr>
              <w:t>：</w:t>
            </w:r>
            <w:r>
              <w:rPr>
                <w:rFonts w:hint="eastAsia" w:ascii="仿宋_GB2312" w:hAnsi="仿宋_GB2312" w:eastAsia="仿宋_GB2312" w:cs="仿宋_GB2312"/>
                <w:color w:val="000000"/>
                <w:kern w:val="0"/>
                <w:sz w:val="20"/>
                <w:szCs w:val="20"/>
                <w:highlight w:val="none"/>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rPr>
            </w:pPr>
            <w:r>
              <w:rPr>
                <w:rFonts w:hint="eastAsia" w:ascii="仿宋_GB2312" w:hAnsi="仿宋_GB2312" w:eastAsia="仿宋_GB2312" w:cs="仿宋_GB2312"/>
                <w:kern w:val="0"/>
                <w:sz w:val="20"/>
                <w:szCs w:val="20"/>
                <w:highlight w:val="none"/>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对危险化学品生产、储存、使用、经营、运输企业安全生产情况的监督检查和隐患排查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highlight w:val="none"/>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对烟花爆竹生产企业的监督检查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highlight w:val="none"/>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rPr>
            </w:pPr>
            <w:r>
              <w:rPr>
                <w:rFonts w:hint="eastAsia" w:ascii="仿宋_GB2312" w:hAnsi="仿宋_GB2312" w:eastAsia="仿宋_GB2312" w:cs="仿宋_GB2312"/>
                <w:kern w:val="0"/>
                <w:sz w:val="20"/>
                <w:szCs w:val="20"/>
                <w:highlight w:val="none"/>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对非药品类易制毒化学品生产、经营的监督检查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w:t>
            </w:r>
            <w:r>
              <w:rPr>
                <w:rFonts w:hint="eastAsia" w:ascii="仿宋_GB2312" w:hAnsi="仿宋_GB2312" w:eastAsia="仿宋_GB2312" w:cs="仿宋_GB2312"/>
                <w:color w:val="000000"/>
                <w:kern w:val="0"/>
                <w:sz w:val="20"/>
                <w:szCs w:val="20"/>
                <w:highlight w:val="none"/>
                <w:lang w:eastAsia="zh-CN"/>
              </w:rPr>
              <w:t>中华人民共和国安全生产法</w:t>
            </w:r>
            <w:r>
              <w:rPr>
                <w:rFonts w:hint="eastAsia" w:ascii="仿宋_GB2312" w:hAnsi="仿宋_GB2312" w:eastAsia="仿宋_GB2312" w:cs="仿宋_GB2312"/>
                <w:color w:val="000000"/>
                <w:kern w:val="0"/>
                <w:sz w:val="20"/>
                <w:szCs w:val="20"/>
                <w:highlight w:val="none"/>
              </w:rPr>
              <w:t>》第九十条</w:t>
            </w:r>
            <w:r>
              <w:rPr>
                <w:rFonts w:hint="eastAsia" w:ascii="仿宋_GB2312" w:hAnsi="仿宋_GB2312" w:eastAsia="仿宋_GB2312" w:cs="仿宋_GB2312"/>
                <w:color w:val="000000"/>
                <w:kern w:val="0"/>
                <w:sz w:val="20"/>
                <w:szCs w:val="20"/>
                <w:highlight w:val="none"/>
                <w:lang w:eastAsia="zh-CN"/>
              </w:rPr>
              <w:t>：</w:t>
            </w:r>
            <w:r>
              <w:rPr>
                <w:rFonts w:hint="eastAsia" w:ascii="仿宋_GB2312" w:hAnsi="仿宋_GB2312" w:eastAsia="仿宋_GB2312" w:cs="仿宋_GB2312"/>
                <w:color w:val="000000"/>
                <w:kern w:val="0"/>
                <w:sz w:val="20"/>
                <w:szCs w:val="20"/>
                <w:highlight w:val="none"/>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rPr>
            </w:pPr>
            <w:r>
              <w:rPr>
                <w:rFonts w:hint="eastAsia" w:ascii="仿宋_GB2312" w:hAnsi="仿宋_GB2312" w:eastAsia="仿宋_GB2312" w:cs="仿宋_GB2312"/>
                <w:kern w:val="0"/>
                <w:sz w:val="20"/>
                <w:szCs w:val="20"/>
                <w:highlight w:val="none"/>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对存在重大危险源的危险化学品单位的监督检查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FF0000"/>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FF0000"/>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FF0000"/>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（三）重大危险源的监测监控情况；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（六）有关从业人员的安全培训教育情况；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（七）安全标志设置情况；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（八）应急救援器材、设备、物资配备情况；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（九）预防和控制事故措施的落实情况。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w:t>
            </w:r>
            <w:r>
              <w:rPr>
                <w:rFonts w:hint="eastAsia" w:ascii="仿宋_GB2312" w:hAnsi="仿宋_GB2312" w:eastAsia="仿宋_GB2312" w:cs="仿宋_GB2312"/>
                <w:color w:val="000000"/>
                <w:kern w:val="0"/>
                <w:sz w:val="20"/>
                <w:szCs w:val="20"/>
                <w:highlight w:val="none"/>
                <w:lang w:eastAsia="zh-CN"/>
              </w:rPr>
              <w:t>中华人民共和国安全生产法</w:t>
            </w:r>
            <w:r>
              <w:rPr>
                <w:rFonts w:hint="eastAsia" w:ascii="仿宋_GB2312" w:hAnsi="仿宋_GB2312" w:eastAsia="仿宋_GB2312" w:cs="仿宋_GB2312"/>
                <w:color w:val="000000"/>
                <w:kern w:val="0"/>
                <w:sz w:val="20"/>
                <w:szCs w:val="20"/>
                <w:highlight w:val="none"/>
              </w:rPr>
              <w:t>》第九十条</w:t>
            </w:r>
            <w:r>
              <w:rPr>
                <w:rFonts w:hint="eastAsia" w:ascii="仿宋_GB2312" w:hAnsi="仿宋_GB2312" w:eastAsia="仿宋_GB2312" w:cs="仿宋_GB2312"/>
                <w:color w:val="000000"/>
                <w:kern w:val="0"/>
                <w:sz w:val="20"/>
                <w:szCs w:val="20"/>
                <w:highlight w:val="none"/>
                <w:lang w:eastAsia="zh-CN"/>
              </w:rPr>
              <w:t>：</w:t>
            </w:r>
            <w:r>
              <w:rPr>
                <w:rFonts w:hint="eastAsia" w:ascii="仿宋_GB2312" w:hAnsi="仿宋_GB2312" w:eastAsia="仿宋_GB2312" w:cs="仿宋_GB2312"/>
                <w:color w:val="000000"/>
                <w:kern w:val="0"/>
                <w:sz w:val="20"/>
                <w:szCs w:val="20"/>
                <w:highlight w:val="none"/>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对小型露天采石场安全生产情况情况的监督检查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部门规章】《小型露天采石场安全管理与监督检查规定》（2011年国家安全监管总局令第39号公布，2015年国家安全监管总局令第78号修正）第二十九条：安全生产监督管理部门应当加强对小型露天采石场的监督检查，对检查中发现的事故隐患和安全生产违法违规行为，依法作出现场处理或者实施行政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w:t>
            </w:r>
            <w:r>
              <w:rPr>
                <w:rFonts w:hint="eastAsia" w:ascii="仿宋_GB2312" w:hAnsi="仿宋_GB2312" w:eastAsia="仿宋_GB2312" w:cs="仿宋_GB2312"/>
                <w:color w:val="000000"/>
                <w:kern w:val="0"/>
                <w:sz w:val="20"/>
                <w:szCs w:val="20"/>
                <w:highlight w:val="none"/>
                <w:lang w:eastAsia="zh-CN"/>
              </w:rPr>
              <w:t>中华人民共和国安全生产法</w:t>
            </w:r>
            <w:r>
              <w:rPr>
                <w:rFonts w:hint="eastAsia" w:ascii="仿宋_GB2312" w:hAnsi="仿宋_GB2312" w:eastAsia="仿宋_GB2312" w:cs="仿宋_GB2312"/>
                <w:color w:val="000000"/>
                <w:kern w:val="0"/>
                <w:sz w:val="20"/>
                <w:szCs w:val="20"/>
                <w:highlight w:val="none"/>
              </w:rPr>
              <w:t>》第九十条</w:t>
            </w:r>
            <w:r>
              <w:rPr>
                <w:rFonts w:hint="eastAsia" w:ascii="仿宋_GB2312" w:hAnsi="仿宋_GB2312" w:eastAsia="仿宋_GB2312" w:cs="仿宋_GB2312"/>
                <w:color w:val="000000"/>
                <w:kern w:val="0"/>
                <w:sz w:val="20"/>
                <w:szCs w:val="20"/>
                <w:highlight w:val="none"/>
                <w:lang w:eastAsia="zh-CN"/>
              </w:rPr>
              <w:t>：</w:t>
            </w:r>
            <w:r>
              <w:rPr>
                <w:rFonts w:hint="eastAsia" w:ascii="仿宋_GB2312" w:hAnsi="仿宋_GB2312" w:eastAsia="仿宋_GB2312" w:cs="仿宋_GB2312"/>
                <w:color w:val="000000"/>
                <w:kern w:val="0"/>
                <w:sz w:val="20"/>
                <w:szCs w:val="20"/>
                <w:highlight w:val="none"/>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对地质勘探单位安全生产情况的监督检查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部门规章】《金属与非金属矿产资源地质勘探安全生产监督管理暂行规定》（2010年国家安全监管总局令第35号公布，2015年国家安全监管总局令第78号修正）第二十二条：安全生产监督管理部门应当加强对地质勘探单位安全生产的监督检查，对检查中发现的事故隐患和安全生产违法违规行为，依法作出现场处理或者实施行政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1.【法律】《</w:t>
            </w:r>
            <w:r>
              <w:rPr>
                <w:rFonts w:hint="eastAsia" w:ascii="仿宋_GB2312" w:hAnsi="仿宋_GB2312" w:eastAsia="仿宋_GB2312" w:cs="仿宋_GB2312"/>
                <w:color w:val="auto"/>
                <w:kern w:val="0"/>
                <w:sz w:val="20"/>
                <w:szCs w:val="20"/>
                <w:highlight w:val="none"/>
                <w:lang w:eastAsia="zh-CN"/>
              </w:rPr>
              <w:t>中华人民共和国安全生产法</w:t>
            </w:r>
            <w:r>
              <w:rPr>
                <w:rFonts w:hint="eastAsia" w:ascii="仿宋_GB2312" w:hAnsi="仿宋_GB2312" w:eastAsia="仿宋_GB2312" w:cs="仿宋_GB2312"/>
                <w:color w:val="auto"/>
                <w:kern w:val="0"/>
                <w:sz w:val="20"/>
                <w:szCs w:val="20"/>
                <w:highlight w:val="none"/>
              </w:rPr>
              <w:t>》第九十条</w:t>
            </w:r>
            <w:r>
              <w:rPr>
                <w:rFonts w:hint="eastAsia" w:ascii="仿宋_GB2312" w:hAnsi="仿宋_GB2312" w:eastAsia="仿宋_GB2312" w:cs="仿宋_GB2312"/>
                <w:color w:val="auto"/>
                <w:kern w:val="0"/>
                <w:sz w:val="20"/>
                <w:szCs w:val="20"/>
                <w:highlight w:val="none"/>
                <w:lang w:eastAsia="zh-CN"/>
              </w:rPr>
              <w:t>：</w:t>
            </w:r>
            <w:r>
              <w:rPr>
                <w:rFonts w:hint="eastAsia" w:ascii="仿宋_GB2312" w:hAnsi="仿宋_GB2312" w:eastAsia="仿宋_GB2312" w:cs="仿宋_GB2312"/>
                <w:color w:val="auto"/>
                <w:kern w:val="0"/>
                <w:sz w:val="20"/>
                <w:szCs w:val="20"/>
                <w:highlight w:val="none"/>
              </w:rPr>
              <w:t>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2.同1。</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center"/>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对生产经营单位应急预案的编制、定期演练和备案等事项的监督检查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rPr>
            </w:pPr>
            <w:r>
              <w:rPr>
                <w:rFonts w:hint="eastAsia" w:ascii="仿宋_GB2312" w:hAnsi="仿宋_GB2312" w:eastAsia="仿宋_GB2312" w:cs="仿宋_GB2312"/>
                <w:snapToGrid w:val="0"/>
                <w:color w:val="auto"/>
                <w:sz w:val="20"/>
                <w:szCs w:val="20"/>
                <w:highlight w:val="none"/>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行政法规】《生产安全事故应急条例》（2019年国务院令第708号）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县级以上人民政府应急管理部门和其他对有关行业、领域的安全生产工作实施监督管理的部门（以下统称负有安全生产监督管理职责的部门）在各自职责范围内，做好有关行业、领域的生产安全事故应急工作。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县级以上人民政府应急管理部门指导、协调本级人民政府其他负有安全生产监督管理职责的部门和下级人民政府的生产安全事故应急工作。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乡、镇人民政府以及街道办事处等地方人民政府派出机关应当协助上级人民政府有关部门依法履行生产安全事故应急工作职责。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3.【部门规章】《生产安全事故应急预案管理办法》（2016年国家安全生产监督管理总局令第88号公布，2019年应急管理部令第2号修正）第四条第二款：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w:t>
            </w:r>
            <w:r>
              <w:rPr>
                <w:rFonts w:hint="eastAsia" w:ascii="仿宋_GB2312" w:hAnsi="仿宋_GB2312" w:eastAsia="仿宋_GB2312" w:cs="仿宋_GB2312"/>
                <w:color w:val="000000"/>
                <w:kern w:val="0"/>
                <w:sz w:val="20"/>
                <w:szCs w:val="20"/>
                <w:highlight w:val="none"/>
                <w:lang w:eastAsia="zh-CN"/>
              </w:rPr>
              <w:t>中华人民共和国安全生产法</w:t>
            </w:r>
            <w:r>
              <w:rPr>
                <w:rFonts w:hint="eastAsia" w:ascii="仿宋_GB2312" w:hAnsi="仿宋_GB2312" w:eastAsia="仿宋_GB2312" w:cs="仿宋_GB2312"/>
                <w:color w:val="000000"/>
                <w:kern w:val="0"/>
                <w:sz w:val="20"/>
                <w:szCs w:val="20"/>
                <w:highlight w:val="none"/>
              </w:rPr>
              <w:t>》第九十条</w:t>
            </w:r>
            <w:r>
              <w:rPr>
                <w:rFonts w:hint="eastAsia" w:ascii="仿宋_GB2312" w:hAnsi="仿宋_GB2312" w:eastAsia="仿宋_GB2312" w:cs="仿宋_GB2312"/>
                <w:color w:val="000000"/>
                <w:kern w:val="0"/>
                <w:sz w:val="20"/>
                <w:szCs w:val="20"/>
                <w:highlight w:val="none"/>
                <w:lang w:eastAsia="zh-CN"/>
              </w:rPr>
              <w:t>：</w:t>
            </w:r>
            <w:r>
              <w:rPr>
                <w:rFonts w:hint="eastAsia" w:ascii="仿宋_GB2312" w:hAnsi="仿宋_GB2312" w:eastAsia="仿宋_GB2312" w:cs="仿宋_GB2312"/>
                <w:color w:val="000000"/>
                <w:kern w:val="0"/>
                <w:sz w:val="20"/>
                <w:szCs w:val="20"/>
                <w:highlight w:val="none"/>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center"/>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rPr>
              <w:t>对非煤矿山外包工程安全生产的监督检查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highlight w:val="none"/>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highlight w:val="none"/>
              </w:rPr>
            </w:pPr>
            <w:r>
              <w:rPr>
                <w:rFonts w:hint="eastAsia" w:ascii="仿宋_GB2312" w:hAnsi="仿宋_GB2312" w:eastAsia="仿宋_GB2312" w:cs="仿宋_GB2312"/>
                <w:snapToGrid w:val="0"/>
                <w:color w:val="auto"/>
                <w:sz w:val="20"/>
                <w:szCs w:val="20"/>
                <w:highlight w:val="none"/>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部门规章】《非煤矿山外包工程安全管理暂行办法》（2013年国家安全监管总局令第62号公布，2015年国家安全监管总局令第78号修正）第二十九条：安全生产监督管理部门应当加强对外包工程的安全生产监督检查，重点检查下列事项：</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（一）发包单位非煤矿山安全生产许可证、安全生产管理协议、安全投入等情况；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（二）承包单位的施工资质、应当依法取得的非煤矿山安全生产许可证、安全投入落实、承包单位及其项目部的安全生产管理机构、技术力量配备、相关人员的安全资格和持证等情况；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w:t>
            </w:r>
            <w:r>
              <w:rPr>
                <w:rFonts w:hint="eastAsia" w:ascii="仿宋_GB2312" w:hAnsi="仿宋_GB2312" w:eastAsia="仿宋_GB2312" w:cs="仿宋_GB2312"/>
                <w:color w:val="000000"/>
                <w:kern w:val="0"/>
                <w:sz w:val="20"/>
                <w:szCs w:val="20"/>
                <w:highlight w:val="none"/>
                <w:lang w:eastAsia="zh-CN"/>
              </w:rPr>
              <w:t>中华人民共和国安全生产法</w:t>
            </w:r>
            <w:r>
              <w:rPr>
                <w:rFonts w:hint="eastAsia" w:ascii="仿宋_GB2312" w:hAnsi="仿宋_GB2312" w:eastAsia="仿宋_GB2312" w:cs="仿宋_GB2312"/>
                <w:color w:val="000000"/>
                <w:kern w:val="0"/>
                <w:sz w:val="20"/>
                <w:szCs w:val="20"/>
                <w:highlight w:val="none"/>
              </w:rPr>
              <w:t>》第九十条</w:t>
            </w:r>
            <w:r>
              <w:rPr>
                <w:rFonts w:hint="eastAsia" w:ascii="仿宋_GB2312" w:hAnsi="仿宋_GB2312" w:eastAsia="仿宋_GB2312" w:cs="仿宋_GB2312"/>
                <w:color w:val="000000"/>
                <w:kern w:val="0"/>
                <w:sz w:val="20"/>
                <w:szCs w:val="20"/>
                <w:highlight w:val="none"/>
                <w:lang w:eastAsia="zh-CN"/>
              </w:rPr>
              <w:t>：</w:t>
            </w:r>
            <w:r>
              <w:rPr>
                <w:rFonts w:hint="eastAsia" w:ascii="仿宋_GB2312" w:hAnsi="仿宋_GB2312" w:eastAsia="仿宋_GB2312" w:cs="仿宋_GB2312"/>
                <w:color w:val="000000"/>
                <w:kern w:val="0"/>
                <w:sz w:val="20"/>
                <w:szCs w:val="20"/>
                <w:highlight w:val="none"/>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000000"/>
                <w:kern w:val="0"/>
                <w:sz w:val="20"/>
                <w:szCs w:val="20"/>
                <w:highlight w:val="none"/>
                <w:lang w:val="en-US" w:eastAsia="zh-CN"/>
              </w:rPr>
            </w:pPr>
            <w:r>
              <w:rPr>
                <w:rFonts w:hint="eastAsia" w:ascii="仿宋_GB2312" w:hAnsi="仿宋_GB2312" w:eastAsia="仿宋_GB2312" w:cs="仿宋_GB2312"/>
                <w:color w:val="000000"/>
                <w:kern w:val="0"/>
                <w:sz w:val="20"/>
                <w:szCs w:val="20"/>
                <w:highlight w:val="none"/>
                <w:lang w:val="en-US" w:eastAsia="zh-CN"/>
              </w:rPr>
              <w:t>29</w:t>
            </w:r>
          </w:p>
        </w:tc>
        <w:tc>
          <w:tcPr>
            <w:tcW w:w="45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行政确认</w:t>
            </w: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《独生子女父母光荣证》核发</w:t>
            </w:r>
          </w:p>
        </w:tc>
        <w:tc>
          <w:tcPr>
            <w:tcW w:w="60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highlight w:val="none"/>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公共事务服务中心</w:t>
            </w:r>
            <w:r>
              <w:rPr>
                <w:rFonts w:hint="eastAsia" w:ascii="仿宋_GB2312" w:hAnsi="仿宋_GB2312" w:eastAsia="仿宋_GB2312" w:cs="仿宋_GB2312"/>
                <w:color w:val="000000"/>
                <w:kern w:val="0"/>
                <w:sz w:val="20"/>
                <w:szCs w:val="20"/>
                <w:highlight w:val="none"/>
                <w:lang w:eastAsia="zh-CN"/>
              </w:rPr>
              <w:t>（社会保障和公共文化服务中心）</w:t>
            </w:r>
          </w:p>
        </w:tc>
        <w:tc>
          <w:tcPr>
            <w:tcW w:w="293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fldChar w:fldCharType="begin"/>
            </w:r>
            <w:r>
              <w:rPr>
                <w:rFonts w:hint="eastAsia" w:ascii="仿宋_GB2312" w:hAnsi="仿宋_GB2312" w:eastAsia="仿宋_GB2312" w:cs="仿宋_GB2312"/>
                <w:color w:val="000000"/>
                <w:kern w:val="0"/>
                <w:sz w:val="20"/>
                <w:szCs w:val="20"/>
                <w:highlight w:val="none"/>
              </w:rPr>
              <w:instrText xml:space="preserve"> HYPERLINK "javascript:SLC(18415926)" \o "" </w:instrText>
            </w:r>
            <w:r>
              <w:rPr>
                <w:rFonts w:hint="eastAsia" w:ascii="仿宋_GB2312" w:hAnsi="仿宋_GB2312" w:eastAsia="仿宋_GB2312" w:cs="仿宋_GB2312"/>
                <w:color w:val="000000"/>
                <w:kern w:val="0"/>
                <w:sz w:val="20"/>
                <w:szCs w:val="20"/>
                <w:highlight w:val="none"/>
              </w:rPr>
              <w:fldChar w:fldCharType="separate"/>
            </w:r>
            <w:r>
              <w:rPr>
                <w:rFonts w:hint="eastAsia" w:ascii="仿宋_GB2312" w:hAnsi="仿宋_GB2312" w:eastAsia="仿宋_GB2312" w:cs="仿宋_GB2312"/>
                <w:color w:val="000000"/>
                <w:kern w:val="0"/>
                <w:sz w:val="20"/>
                <w:szCs w:val="20"/>
                <w:highlight w:val="none"/>
              </w:rPr>
              <w:t>1.【法律】《中华人民共和国人口与计划生育法》第二十七条第一款</w:t>
            </w:r>
            <w:r>
              <w:rPr>
                <w:rFonts w:hint="eastAsia" w:ascii="仿宋_GB2312" w:hAnsi="仿宋_GB2312" w:eastAsia="仿宋_GB2312" w:cs="仿宋_GB2312"/>
                <w:color w:val="000000"/>
                <w:kern w:val="0"/>
                <w:sz w:val="20"/>
                <w:szCs w:val="20"/>
                <w:highlight w:val="none"/>
                <w:lang w:eastAsia="zh-CN"/>
              </w:rPr>
              <w:t>：</w:t>
            </w:r>
            <w:r>
              <w:rPr>
                <w:rFonts w:hint="eastAsia" w:ascii="仿宋_GB2312" w:hAnsi="仿宋_GB2312" w:eastAsia="仿宋_GB2312" w:cs="仿宋_GB2312"/>
                <w:color w:val="000000"/>
                <w:kern w:val="0"/>
                <w:sz w:val="20"/>
                <w:szCs w:val="20"/>
                <w:highlight w:val="none"/>
              </w:rPr>
              <w:t>在国家提倡一对夫妻生育一个子女期间，自愿终身只生育一个子女的夫妻，国家发给《独生子女父母光荣证》。</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highlight w:val="none"/>
              </w:rPr>
              <w:fldChar w:fldCharType="end"/>
            </w:r>
          </w:p>
        </w:tc>
        <w:tc>
          <w:tcPr>
            <w:tcW w:w="273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1.受理责任：负责对鉴定对象进行病史及必要的社会调查，收集整理有关重要资料。（不予受理应当告知理由）。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2.审查责任：负责对要求鉴定的对象进行检查与诊断。</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3.决定责任：作出行政确认或者不予行政确认决定，法定告知（不予确认的应当书面告知理由）。</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4.告知环节责任：负责开具鉴定结论，并由县级卫生计生行政部门领回交给申请人。</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5.事后监管环节责任：建立健全监督制度，分管领导对审批后的相关事宜实施监督管理。</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6.其他法律法规规章文件规定应履行的责任。</w:t>
            </w:r>
          </w:p>
        </w:tc>
        <w:tc>
          <w:tcPr>
            <w:tcW w:w="381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1.【地方政府规章】</w:t>
            </w:r>
            <w:r>
              <w:rPr>
                <w:rFonts w:hint="eastAsia" w:ascii="仿宋_GB2312" w:hAnsi="仿宋_GB2312" w:eastAsia="仿宋_GB2312" w:cs="仿宋_GB2312"/>
                <w:color w:val="000000"/>
                <w:kern w:val="0"/>
                <w:sz w:val="20"/>
                <w:szCs w:val="20"/>
                <w:highlight w:val="none"/>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highlight w:val="none"/>
              </w:rPr>
              <w:t>第二十二</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行政执法机关应将办理各种申请的条件、程序、期限和范围及其他相关情况向社会公开，并应建立受理申请登记制度。</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2.【地方政府规章】</w:t>
            </w:r>
            <w:r>
              <w:rPr>
                <w:rFonts w:hint="eastAsia" w:ascii="仿宋_GB2312" w:hAnsi="仿宋_GB2312" w:eastAsia="仿宋_GB2312" w:cs="仿宋_GB2312"/>
                <w:color w:val="000000"/>
                <w:kern w:val="0"/>
                <w:sz w:val="20"/>
                <w:szCs w:val="20"/>
                <w:highlight w:val="none"/>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highlight w:val="none"/>
              </w:rPr>
              <w:t>第二十五</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highlight w:val="none"/>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3.【地方政府规章】</w:t>
            </w:r>
            <w:r>
              <w:rPr>
                <w:rFonts w:hint="eastAsia" w:ascii="仿宋_GB2312" w:hAnsi="仿宋_GB2312" w:eastAsia="仿宋_GB2312" w:cs="仿宋_GB2312"/>
                <w:color w:val="000000"/>
                <w:kern w:val="0"/>
                <w:sz w:val="20"/>
                <w:szCs w:val="20"/>
                <w:highlight w:val="none"/>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highlight w:val="none"/>
              </w:rPr>
              <w:t>第三十三</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highlight w:val="none"/>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rPr>
              <w:t>4.【地方政府规章】</w:t>
            </w:r>
            <w:r>
              <w:rPr>
                <w:rFonts w:hint="eastAsia" w:ascii="仿宋_GB2312" w:hAnsi="仿宋_GB2312" w:eastAsia="仿宋_GB2312" w:cs="仿宋_GB2312"/>
                <w:color w:val="000000"/>
                <w:kern w:val="0"/>
                <w:sz w:val="20"/>
                <w:szCs w:val="20"/>
                <w:highlight w:val="none"/>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highlight w:val="none"/>
              </w:rPr>
              <w:t>第五十七</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highlight w:val="none"/>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5.【地方政府规章】</w:t>
            </w:r>
            <w:r>
              <w:rPr>
                <w:rFonts w:hint="eastAsia" w:ascii="仿宋_GB2312" w:hAnsi="仿宋_GB2312" w:eastAsia="仿宋_GB2312" w:cs="仿宋_GB2312"/>
                <w:color w:val="000000"/>
                <w:kern w:val="0"/>
                <w:sz w:val="20"/>
                <w:szCs w:val="20"/>
                <w:highlight w:val="none"/>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highlight w:val="none"/>
              </w:rPr>
              <w:t>第六十八</w:t>
            </w:r>
            <w:r>
              <w:rPr>
                <w:rFonts w:hint="eastAsia" w:ascii="仿宋_GB2312" w:hAnsi="仿宋_GB2312" w:eastAsia="仿宋_GB2312" w:cs="仿宋_GB2312"/>
                <w:color w:val="000000"/>
                <w:kern w:val="0"/>
                <w:sz w:val="20"/>
                <w:szCs w:val="20"/>
                <w:highlight w:val="none"/>
                <w:lang w:eastAsia="zh-CN"/>
              </w:rPr>
              <w:t>条：</w:t>
            </w:r>
            <w:r>
              <w:rPr>
                <w:rFonts w:hint="eastAsia" w:ascii="仿宋_GB2312" w:hAnsi="仿宋_GB2312" w:eastAsia="仿宋_GB2312" w:cs="仿宋_GB2312"/>
                <w:color w:val="000000"/>
                <w:kern w:val="0"/>
                <w:sz w:val="20"/>
                <w:szCs w:val="20"/>
                <w:highlight w:val="none"/>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1.对符合受理条件未予受理的（工委办）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2.未严格按照相关政策、法律、法规履行审查义务，对应当予以认定的不予认定或不予认定的给予认定的（工委办）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3.因审查不严，从而影响鉴定工作的公正性的（工委办）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4.在鉴定过程中发生违纪、腐败行为的（工委办）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5.其他违反法律法规规章文件规定的行为。（工委办）</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p>
        </w:tc>
        <w:tc>
          <w:tcPr>
            <w:tcW w:w="4161"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4.同1</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p>
        </w:tc>
        <w:tc>
          <w:tcPr>
            <w:tcW w:w="117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widowControl/>
              <w:adjustRightInd w:val="0"/>
              <w:snapToGrid w:val="0"/>
              <w:spacing w:line="294"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30</w:t>
            </w:r>
          </w:p>
        </w:tc>
        <w:tc>
          <w:tcPr>
            <w:tcW w:w="457" w:type="dxa"/>
            <w:noWrap w:val="0"/>
            <w:tcMar>
              <w:top w:w="28" w:type="dxa"/>
              <w:left w:w="28" w:type="dxa"/>
              <w:bottom w:w="28" w:type="dxa"/>
              <w:right w:w="28" w:type="dxa"/>
            </w:tcMar>
            <w:vAlign w:val="center"/>
          </w:tcPr>
          <w:p>
            <w:pPr>
              <w:widowControl/>
              <w:adjustRightInd w:val="0"/>
              <w:snapToGrid w:val="0"/>
              <w:spacing w:line="294" w:lineRule="exact"/>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行政确认</w:t>
            </w:r>
          </w:p>
        </w:tc>
        <w:tc>
          <w:tcPr>
            <w:tcW w:w="480"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生育登记</w:t>
            </w:r>
          </w:p>
        </w:tc>
        <w:tc>
          <w:tcPr>
            <w:tcW w:w="600"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highlight w:val="none"/>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公共事务服务中心</w:t>
            </w:r>
            <w:r>
              <w:rPr>
                <w:rFonts w:hint="eastAsia" w:ascii="仿宋_GB2312" w:hAnsi="仿宋_GB2312" w:eastAsia="仿宋_GB2312" w:cs="仿宋_GB2312"/>
                <w:color w:val="000000"/>
                <w:kern w:val="0"/>
                <w:sz w:val="20"/>
                <w:szCs w:val="20"/>
                <w:highlight w:val="none"/>
                <w:lang w:eastAsia="zh-CN"/>
              </w:rPr>
              <w:t>（社会保障和公共文化服务中心）</w:t>
            </w:r>
          </w:p>
        </w:tc>
        <w:tc>
          <w:tcPr>
            <w:tcW w:w="2939"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【地方性法规】《广西壮族自治区人口和计划生育条例》（</w:t>
            </w:r>
            <w:r>
              <w:rPr>
                <w:rFonts w:hint="eastAsia" w:ascii="仿宋_GB2312" w:hAnsi="仿宋_GB2312" w:eastAsia="仿宋_GB2312" w:cs="仿宋_GB2312"/>
                <w:color w:val="auto"/>
                <w:kern w:val="0"/>
                <w:sz w:val="20"/>
                <w:szCs w:val="20"/>
                <w:highlight w:val="none"/>
                <w:lang w:val="en-US" w:eastAsia="zh-CN"/>
              </w:rPr>
              <w:t>2022年3月24日修订通过，颁布施行</w:t>
            </w:r>
            <w:r>
              <w:rPr>
                <w:rFonts w:hint="eastAsia" w:ascii="仿宋_GB2312" w:hAnsi="仿宋_GB2312" w:eastAsia="仿宋_GB2312" w:cs="仿宋_GB2312"/>
                <w:color w:val="auto"/>
                <w:kern w:val="0"/>
                <w:sz w:val="20"/>
                <w:szCs w:val="20"/>
                <w:highlight w:val="none"/>
              </w:rPr>
              <w:t>）第十六条</w:t>
            </w:r>
            <w:r>
              <w:rPr>
                <w:rFonts w:hint="eastAsia" w:ascii="仿宋_GB2312" w:hAnsi="仿宋_GB2312" w:eastAsia="仿宋_GB2312" w:cs="仿宋_GB2312"/>
                <w:color w:val="auto"/>
                <w:kern w:val="0"/>
                <w:sz w:val="20"/>
                <w:szCs w:val="20"/>
                <w:highlight w:val="none"/>
                <w:lang w:val="en-US" w:eastAsia="zh-CN"/>
              </w:rPr>
              <w:t xml:space="preserve"> </w:t>
            </w:r>
            <w:r>
              <w:rPr>
                <w:rFonts w:hint="eastAsia" w:ascii="仿宋_GB2312" w:hAnsi="仿宋_GB2312" w:eastAsia="仿宋_GB2312" w:cs="仿宋_GB2312"/>
                <w:color w:val="auto"/>
                <w:kern w:val="0"/>
                <w:sz w:val="20"/>
                <w:szCs w:val="20"/>
                <w:highlight w:val="none"/>
              </w:rPr>
              <w:t>实行生育登记制度。生育子女的夫妻可以通过生育登记平台进行网上登记，也可以到一方户籍所在地或者现居住地乡镇人民政府、街道办事处及其委托的村民委员会、居民委员会进行登记。</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p>
        </w:tc>
        <w:tc>
          <w:tcPr>
            <w:tcW w:w="2730"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1.受理阶段责任：公示依法应当提交的材料和受理条件；一次性告知补正材料；依法受理或不予受理（不予受理应当告知理由）。</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2.审查阶段责任：审核材料真实性和合法性；现场审核；论证申请人是否符合相关法律法规标准的要求。</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3.决定阶段责任：作出行政许可或不予行政许可的决定（不予许可的应书面说明理由，并告知当事人享有依法申请行政复议或提起行政诉讼的权利）。</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4.送达阶段责任：对许可的制发送达并信息公开，对不予许可的制发送达《不予许可决定书》；按时办结；法定告知。</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5.事后监管责任：定期或不定期检查已发单位是否有违反《放射诊疗管理规定》的行为，对违法行为依法查处，并给予有关责任人相关处分。</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1</w:t>
            </w:r>
            <w:r>
              <w:rPr>
                <w:rFonts w:hint="eastAsia" w:ascii="仿宋_GB2312" w:hAnsi="仿宋_GB2312" w:eastAsia="仿宋_GB2312" w:cs="仿宋_GB2312"/>
                <w:color w:val="auto"/>
                <w:kern w:val="0"/>
                <w:sz w:val="20"/>
                <w:szCs w:val="20"/>
                <w:highlight w:val="none"/>
                <w:lang w:eastAsia="zh-CN"/>
              </w:rPr>
              <w:t>—1.</w:t>
            </w:r>
            <w:r>
              <w:rPr>
                <w:rFonts w:hint="eastAsia" w:ascii="仿宋_GB2312" w:hAnsi="仿宋_GB2312" w:eastAsia="仿宋_GB2312" w:cs="仿宋_GB2312"/>
                <w:color w:val="auto"/>
                <w:kern w:val="0"/>
                <w:sz w:val="20"/>
                <w:szCs w:val="20"/>
                <w:highlight w:val="none"/>
              </w:rPr>
              <w:t>【法律】《中华人民共和国行政许可法》第三十</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highlight w:val="none"/>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1</w:t>
            </w:r>
            <w:r>
              <w:rPr>
                <w:rFonts w:hint="eastAsia" w:ascii="仿宋_GB2312" w:hAnsi="仿宋_GB2312" w:eastAsia="仿宋_GB2312" w:cs="仿宋_GB2312"/>
                <w:color w:val="auto"/>
                <w:kern w:val="0"/>
                <w:sz w:val="20"/>
                <w:szCs w:val="20"/>
                <w:highlight w:val="none"/>
                <w:lang w:eastAsia="zh-CN"/>
              </w:rPr>
              <w:t>—2.</w:t>
            </w:r>
            <w:r>
              <w:rPr>
                <w:rFonts w:hint="eastAsia" w:ascii="仿宋_GB2312" w:hAnsi="仿宋_GB2312" w:eastAsia="仿宋_GB2312" w:cs="仿宋_GB2312"/>
                <w:color w:val="auto"/>
                <w:kern w:val="0"/>
                <w:sz w:val="20"/>
                <w:szCs w:val="20"/>
                <w:highlight w:val="none"/>
              </w:rPr>
              <w:t>【法律】《中华人民共和国行政许可法》第三十二</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highlight w:val="none"/>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lang w:val="en-US" w:eastAsia="zh-CN"/>
              </w:rPr>
              <w:t>2.</w:t>
            </w:r>
            <w:r>
              <w:rPr>
                <w:rFonts w:hint="eastAsia" w:ascii="仿宋_GB2312" w:hAnsi="仿宋_GB2312" w:eastAsia="仿宋_GB2312" w:cs="仿宋_GB2312"/>
                <w:color w:val="auto"/>
                <w:kern w:val="0"/>
                <w:sz w:val="20"/>
                <w:szCs w:val="20"/>
                <w:highlight w:val="none"/>
              </w:rPr>
              <w:t>【法律】《中华人民共和国行政许可法》第三十四</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第三十七</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rPr>
              <w:t>3.</w:t>
            </w:r>
            <w:r>
              <w:rPr>
                <w:rFonts w:hint="eastAsia" w:ascii="仿宋_GB2312" w:hAnsi="仿宋_GB2312" w:eastAsia="仿宋_GB2312" w:cs="仿宋_GB2312"/>
                <w:color w:val="auto"/>
                <w:kern w:val="0"/>
                <w:sz w:val="20"/>
                <w:szCs w:val="20"/>
                <w:highlight w:val="none"/>
                <w:lang w:eastAsia="zh-CN"/>
              </w:rPr>
              <w:t>同</w:t>
            </w:r>
            <w:r>
              <w:rPr>
                <w:rFonts w:hint="eastAsia" w:ascii="仿宋_GB2312" w:hAnsi="仿宋_GB2312" w:eastAsia="仿宋_GB2312" w:cs="仿宋_GB2312"/>
                <w:color w:val="auto"/>
                <w:kern w:val="0"/>
                <w:sz w:val="20"/>
                <w:szCs w:val="20"/>
                <w:highlight w:val="none"/>
                <w:lang w:val="en-US" w:eastAsia="zh-CN"/>
              </w:rPr>
              <w:t>2</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r>
              <w:rPr>
                <w:rFonts w:hint="eastAsia" w:ascii="仿宋_GB2312" w:hAnsi="仿宋_GB2312" w:eastAsia="仿宋_GB2312" w:cs="仿宋_GB2312"/>
                <w:color w:val="auto"/>
                <w:kern w:val="0"/>
                <w:sz w:val="20"/>
                <w:szCs w:val="20"/>
                <w:highlight w:val="none"/>
                <w:lang w:eastAsia="zh-CN"/>
              </w:rPr>
              <w:t>—1.</w:t>
            </w:r>
            <w:r>
              <w:rPr>
                <w:rFonts w:hint="eastAsia" w:ascii="仿宋_GB2312" w:hAnsi="仿宋_GB2312" w:eastAsia="仿宋_GB2312" w:cs="仿宋_GB2312"/>
                <w:color w:val="auto"/>
                <w:kern w:val="0"/>
                <w:sz w:val="20"/>
                <w:szCs w:val="20"/>
                <w:highlight w:val="none"/>
              </w:rPr>
              <w:t>【法律】《中华人民共和国行政许可法》第四十四</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r>
              <w:rPr>
                <w:rFonts w:hint="eastAsia" w:ascii="仿宋_GB2312" w:hAnsi="仿宋_GB2312" w:eastAsia="仿宋_GB2312" w:cs="仿宋_GB2312"/>
                <w:color w:val="auto"/>
                <w:kern w:val="0"/>
                <w:sz w:val="20"/>
                <w:szCs w:val="20"/>
                <w:highlight w:val="none"/>
                <w:lang w:eastAsia="zh-CN"/>
              </w:rPr>
              <w:t>—2.</w:t>
            </w:r>
            <w:r>
              <w:rPr>
                <w:rFonts w:hint="eastAsia" w:ascii="仿宋_GB2312" w:hAnsi="仿宋_GB2312" w:eastAsia="仿宋_GB2312" w:cs="仿宋_GB2312"/>
                <w:color w:val="auto"/>
                <w:kern w:val="0"/>
                <w:sz w:val="20"/>
                <w:szCs w:val="20"/>
                <w:highlight w:val="none"/>
              </w:rPr>
              <w:t>【法律】《中华人民共和国行政许可法》第四十</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第四十三</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5.【法律】《中华人民共和国行政许可法》第六十一</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第六十二</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第六十三</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1.对符合受理条件未予受理的（工委办）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2.未严格按照相关政策、法律、法规履行审查义务，对应当予以认定的不予认定或不予认定的给予认定的（工委办）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3.因审查不严，从而影响鉴定工作的公正性的（工委办）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4.在鉴定过程中发生违纪、腐败行为的（工委办）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5.其他违反法律法规规章文件规定的行为。（工委办）</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p>
        </w:tc>
        <w:tc>
          <w:tcPr>
            <w:tcW w:w="4161"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2.同1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4.同1</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p>
        </w:tc>
        <w:tc>
          <w:tcPr>
            <w:tcW w:w="1170"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i w:val="0"/>
                <w:iCs w:val="0"/>
                <w:caps w:val="0"/>
                <w:color w:val="auto"/>
                <w:spacing w:val="0"/>
                <w:sz w:val="20"/>
                <w:szCs w:val="20"/>
                <w:highlight w:val="none"/>
                <w:shd w:val="clear" w:fill="FFFFFF"/>
              </w:rPr>
              <w:t>法律法规规章规定的免责情形以及《自治区党委办公厅关于印发〈深入推进激励干部新时代新担当新作为工作实施方案〉等6个文件的通知》中明确的免责情形。</w:t>
            </w:r>
          </w:p>
        </w:tc>
        <w:tc>
          <w:tcPr>
            <w:tcW w:w="737"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791"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rPr>
            </w:pPr>
            <w:r>
              <w:rPr>
                <w:rFonts w:hint="eastAsia" w:ascii="仿宋_GB2312" w:hAnsi="仿宋_GB2312" w:eastAsia="仿宋_GB2312" w:cs="仿宋_GB2312"/>
                <w:kern w:val="0"/>
                <w:sz w:val="20"/>
                <w:szCs w:val="20"/>
                <w:highlight w:val="none"/>
                <w:lang w:val="en-US" w:eastAsia="zh-CN"/>
              </w:rPr>
              <w:t>31</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其他行政权力</w:t>
            </w:r>
          </w:p>
        </w:tc>
        <w:tc>
          <w:tcPr>
            <w:tcW w:w="480"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经济              普查</w:t>
            </w:r>
          </w:p>
        </w:tc>
        <w:tc>
          <w:tcPr>
            <w:tcW w:w="60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社会经济发展办公室</w:t>
            </w:r>
            <w:r>
              <w:rPr>
                <w:rFonts w:hint="eastAsia" w:ascii="仿宋_GB2312" w:hAnsi="仿宋_GB2312" w:eastAsia="仿宋_GB2312" w:cs="仿宋_GB2312"/>
                <w:kern w:val="0"/>
                <w:sz w:val="20"/>
                <w:szCs w:val="20"/>
                <w:highlight w:val="none"/>
                <w:lang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1.启动阶段责任：广泛动员和组织社会力量积极参与经济普查工作。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因不履行或不正确履行行政职责，有下列情形的，行政机关及相关工作人员应承担相应责任：</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1.对调查中发现的问题，不及时处理，造成不良后果的；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2.瞒报、伪造、篡改调查资料或者编造虚假调查数据的；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3.泄露调查数据造成不良后果的；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4.在调查中玩忽职守、滥用职权的；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5.在调查中发生腐败行为的；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6.其他违反法律法规规章文件规定的行为。</w:t>
            </w:r>
          </w:p>
        </w:tc>
        <w:tc>
          <w:tcPr>
            <w:tcW w:w="4161" w:type="dxa"/>
            <w:noWrap w:val="0"/>
            <w:tcMar>
              <w:top w:w="28" w:type="dxa"/>
              <w:left w:w="28" w:type="dxa"/>
              <w:bottom w:w="28" w:type="dxa"/>
              <w:right w:w="28" w:type="dxa"/>
            </w:tcMar>
            <w:vAlign w:val="center"/>
          </w:tcPr>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【法规】《全国经济普查条例》（2018年8月11日国务院令第702号公布  根据2018年8月11日《国务院关于修改〈全国经济普查条例〉的决定》修订 自公布之日起施行）第三十五条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经济普查人员参与篡改经济普查资料、编造虚假数据的，由县级以上人民政府统计机构责令改正，依法给予处分，或者建议有关部门、单位依法给予处分。</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pacing w:val="-2"/>
                <w:kern w:val="0"/>
                <w:sz w:val="20"/>
                <w:szCs w:val="20"/>
                <w:highlight w:val="none"/>
              </w:rPr>
              <w:t>法律法规规定的免责情形</w:t>
            </w:r>
            <w:r>
              <w:rPr>
                <w:rFonts w:hint="eastAsia" w:ascii="仿宋_GB2312" w:hAnsi="仿宋_GB2312" w:eastAsia="仿宋_GB2312" w:cs="仿宋_GB2312"/>
                <w:spacing w:val="-2"/>
                <w:kern w:val="0"/>
                <w:sz w:val="20"/>
                <w:szCs w:val="20"/>
                <w:highlight w:val="none"/>
                <w:lang w:eastAsia="zh-CN"/>
              </w:rPr>
              <w:t>及县委、县人民政府</w:t>
            </w:r>
            <w:r>
              <w:rPr>
                <w:rFonts w:hint="eastAsia" w:ascii="仿宋_GB2312" w:hAnsi="仿宋_GB2312" w:eastAsia="仿宋_GB2312" w:cs="仿宋_GB2312"/>
                <w:spacing w:val="-2"/>
                <w:kern w:val="0"/>
                <w:sz w:val="20"/>
                <w:szCs w:val="20"/>
                <w:highlight w:val="none"/>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rPr>
            </w:pPr>
            <w:r>
              <w:rPr>
                <w:rFonts w:hint="eastAsia" w:ascii="仿宋_GB2312" w:hAnsi="仿宋_GB2312" w:eastAsia="仿宋_GB2312" w:cs="仿宋_GB2312"/>
                <w:kern w:val="0"/>
                <w:sz w:val="20"/>
                <w:szCs w:val="20"/>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eastAsia="zh-CN"/>
              </w:rPr>
            </w:pPr>
            <w:r>
              <w:rPr>
                <w:rFonts w:hint="eastAsia" w:ascii="仿宋_GB2312" w:hAnsi="仿宋_GB2312" w:eastAsia="仿宋_GB2312" w:cs="仿宋_GB2312"/>
                <w:kern w:val="0"/>
                <w:sz w:val="20"/>
                <w:szCs w:val="20"/>
                <w:highlight w:val="none"/>
                <w:lang w:val="en-US" w:eastAsia="zh-CN"/>
              </w:rPr>
              <w:t>32</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其他行政权力</w:t>
            </w:r>
          </w:p>
        </w:tc>
        <w:tc>
          <w:tcPr>
            <w:tcW w:w="480"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农业                普查</w:t>
            </w:r>
          </w:p>
        </w:tc>
        <w:tc>
          <w:tcPr>
            <w:tcW w:w="60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社会经济发展办公室</w:t>
            </w:r>
            <w:r>
              <w:rPr>
                <w:rFonts w:hint="eastAsia" w:ascii="仿宋_GB2312" w:hAnsi="仿宋_GB2312" w:eastAsia="仿宋_GB2312" w:cs="仿宋_GB2312"/>
                <w:kern w:val="0"/>
                <w:sz w:val="20"/>
                <w:szCs w:val="20"/>
                <w:highlight w:val="none"/>
                <w:lang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1.启动阶段责任：广泛动员和组织社会力量积极参与农业普查工作。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村民委员会应当在乡镇人民政府的指导下做好本区域内的农业普查工作。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因不履行或不正确履行行政职责，有下列情形的，行政机关及相关工作人员应承担相应责任：</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1.对调查中发现的问题，不及时处理，造成不良后果的；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2.瞒报、伪造、篡改调查资料或者编造虚假调查数据的；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3.泄露调查数据造成不良后果的；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4.在调查中玩忽职守、滥用职权的；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5.在调查中发生腐败行为的；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6.其他违反法律法规规章文件规定的行为。</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【法规】《全国农业普查条例》（2006年8月23日中华人民共和国国务院令 第473号发布）第三十七条 地方、部门、单位的领导人自行修改农业普查资料，强令、授意普查办公室、普查人员和普查对象篡改农业普查资料或者编造虚假数据，对拒绝、抵制篡改农业普查资料或者拒绝、抵制编造虚假数据的人员打击报复的，依法给予行政处分或者纪律处分，并由县级以上人民政府统计机构或者国家统计局派出的调查队给予通报批评；构成犯罪的，依法追究刑事责任。 </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第三十八条 普查人员不执行普查方案，伪造、篡改普查资料，强令、授意普查对象提供虚假普查资料的，由县级以上人民政府统计机构或者国家统计局派出的调查队责令改正，依法给予行政处分或者纪律处分，并可以给予通报批评。</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pacing w:val="-2"/>
                <w:kern w:val="0"/>
                <w:sz w:val="20"/>
                <w:szCs w:val="20"/>
                <w:highlight w:val="none"/>
              </w:rPr>
              <w:t>法律法规规定的免责情形</w:t>
            </w:r>
            <w:r>
              <w:rPr>
                <w:rFonts w:hint="eastAsia" w:ascii="仿宋_GB2312" w:hAnsi="仿宋_GB2312" w:eastAsia="仿宋_GB2312" w:cs="仿宋_GB2312"/>
                <w:spacing w:val="-2"/>
                <w:kern w:val="0"/>
                <w:sz w:val="20"/>
                <w:szCs w:val="20"/>
                <w:highlight w:val="none"/>
                <w:lang w:eastAsia="zh-CN"/>
              </w:rPr>
              <w:t>及县委、县人民政府</w:t>
            </w:r>
            <w:r>
              <w:rPr>
                <w:rFonts w:hint="eastAsia" w:ascii="仿宋_GB2312" w:hAnsi="仿宋_GB2312" w:eastAsia="仿宋_GB2312" w:cs="仿宋_GB2312"/>
                <w:spacing w:val="-2"/>
                <w:kern w:val="0"/>
                <w:sz w:val="20"/>
                <w:szCs w:val="20"/>
                <w:highlight w:val="none"/>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rPr>
            </w:pPr>
            <w:r>
              <w:rPr>
                <w:rFonts w:hint="eastAsia" w:ascii="仿宋_GB2312" w:hAnsi="仿宋_GB2312" w:eastAsia="仿宋_GB2312" w:cs="仿宋_GB2312"/>
                <w:kern w:val="0"/>
                <w:sz w:val="20"/>
                <w:szCs w:val="20"/>
                <w:highlight w:val="none"/>
                <w:lang w:val="en-US" w:eastAsia="zh-CN"/>
              </w:rPr>
              <w:t>33</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其他行政权力</w:t>
            </w:r>
          </w:p>
        </w:tc>
        <w:tc>
          <w:tcPr>
            <w:tcW w:w="480"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人口             普查</w:t>
            </w:r>
          </w:p>
        </w:tc>
        <w:tc>
          <w:tcPr>
            <w:tcW w:w="60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社会经济发展办公室</w:t>
            </w:r>
            <w:r>
              <w:rPr>
                <w:rFonts w:hint="eastAsia" w:ascii="仿宋_GB2312" w:hAnsi="仿宋_GB2312" w:eastAsia="仿宋_GB2312" w:cs="仿宋_GB2312"/>
                <w:kern w:val="0"/>
                <w:sz w:val="20"/>
                <w:szCs w:val="20"/>
                <w:highlight w:val="none"/>
                <w:lang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【行政法规】《全国人口普查条例》（2010年国务院令第576号）第三条：人口普查工作按照全国统一领导、部门分工协作、地方分级负责、各方共同参与的原则组织实施。</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在人口普查工作期间，各级人民政府设立由统计机构和有关部门组成的人口普查机构（以下简称普查机构），负责人口普查的组织实施工作。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1.启动阶段责任：广泛动员和组织社会力量积极参与人口普查工作。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村民委员会、居民委员会应当协助所在地人民政府动员和组织社会力量，做好本区域的人口普查工作。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因不履行或不正确履行行政职责，有下列情形的，行政机关及相关工作人员应承担相应责任：</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1.对调查中发现的问题，不及时处理，造成不良后果的；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2.瞒报、伪造、篡改调查资料或者编造虚假调查数据的；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3.泄露调查数据造成不良后果的；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4.在调查中玩忽职守、滥用职权的；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5.在调查中发生腐败行为的；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6.其他违反法律法规规章文件规定的行为。</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【法规】《全国人口普查条例》（2010年5月12日中华人民共和国国务院令 第576号发布）第三十四条 地方人民政府、政府统计机构或者有关部门、单位的负责人有下列行为之一的，由任免机关或者监察机关依法给予处分，并由县级以上人民政府统计机构予以通报；构成犯罪的，依法追究刑事责任：</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（一）自行修改人口普查资料、编造虚假人口普查数据的；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（二）要求有关单位和个人伪造、篡改人口普查资料的；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（三）不按照国家有关规定保存、销毁人口普查资料的；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（四）违法公布人口普查资料的；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（五）对依法履行职责或者拒绝、抵制人口普查违法行为的普查人员打击报复的；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（六）对本地方、本部门、本单位发生的严重人口普查违法行为失察的。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第三十五条 普查机构在组织实施人口普查活动中有下列违法行为之一的，由本级人民政府或者上级人民政府统计机构责令改正，予以通报；对直接负责的主管人员和其他直接责任人员，由任免机关或者监察机关依法给予处分：</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（一）不执行普查方案的；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（二）伪造、篡改人口普查资料的；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（三）要求人口普查对象提供不真实的人口普查资料的；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（四）未按照普查方案的规定报送人口普查资料的；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（五）违反国家有关规定，造成人口普查资料毁损、灭失的；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（六）泄露或者向他人提供能够识别或者推断单个普查对象身份的资料的。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普查人员有前款所列行为之一的，责令其停止执行人口普查任务，予以通报，依法给予处分。</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pacing w:val="-2"/>
                <w:kern w:val="0"/>
                <w:sz w:val="20"/>
                <w:szCs w:val="20"/>
                <w:highlight w:val="none"/>
              </w:rPr>
              <w:t>律法规规定的免责情形</w:t>
            </w:r>
            <w:r>
              <w:rPr>
                <w:rFonts w:hint="eastAsia" w:ascii="仿宋_GB2312" w:hAnsi="仿宋_GB2312" w:eastAsia="仿宋_GB2312" w:cs="仿宋_GB2312"/>
                <w:spacing w:val="-2"/>
                <w:kern w:val="0"/>
                <w:sz w:val="20"/>
                <w:szCs w:val="20"/>
                <w:highlight w:val="none"/>
                <w:lang w:eastAsia="zh-CN"/>
              </w:rPr>
              <w:t>及县委、县人民政府</w:t>
            </w:r>
            <w:r>
              <w:rPr>
                <w:rFonts w:hint="eastAsia" w:ascii="仿宋_GB2312" w:hAnsi="仿宋_GB2312" w:eastAsia="仿宋_GB2312" w:cs="仿宋_GB2312"/>
                <w:spacing w:val="-2"/>
                <w:kern w:val="0"/>
                <w:sz w:val="20"/>
                <w:szCs w:val="20"/>
                <w:highlight w:val="none"/>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lang w:val="en-US" w:eastAsia="zh-CN"/>
              </w:rPr>
            </w:pPr>
            <w:r>
              <w:rPr>
                <w:rFonts w:hint="eastAsia" w:ascii="仿宋_GB2312" w:hAnsi="仿宋_GB2312" w:eastAsia="仿宋_GB2312" w:cs="仿宋_GB2312"/>
                <w:kern w:val="0"/>
                <w:sz w:val="20"/>
                <w:szCs w:val="20"/>
                <w:highlight w:val="none"/>
                <w:lang w:val="en-US" w:eastAsia="zh-CN"/>
              </w:rPr>
              <w:t>34</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其他行政权力</w:t>
            </w:r>
          </w:p>
        </w:tc>
        <w:tc>
          <w:tcPr>
            <w:tcW w:w="48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统计资料的补正</w:t>
            </w:r>
          </w:p>
        </w:tc>
        <w:tc>
          <w:tcPr>
            <w:tcW w:w="60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snapToGrid w:val="0"/>
                <w:color w:val="auto"/>
                <w:sz w:val="20"/>
                <w:szCs w:val="20"/>
                <w:highlight w:val="none"/>
                <w:lang w:val="en-US" w:eastAsia="zh-CN"/>
              </w:rPr>
              <w:t>三江侗族自治县</w:t>
            </w:r>
            <w:r>
              <w:rPr>
                <w:rFonts w:hint="eastAsia" w:ascii="仿宋_GB2312" w:hAnsi="仿宋_GB2312" w:eastAsia="仿宋_GB2312" w:cs="仿宋_GB2312"/>
                <w:snapToGrid w:val="0"/>
                <w:color w:val="auto"/>
                <w:sz w:val="20"/>
                <w:szCs w:val="20"/>
                <w:highlight w:val="none"/>
                <w:lang w:eastAsia="zh-CN"/>
              </w:rPr>
              <w:t>古宜镇</w:t>
            </w:r>
            <w:r>
              <w:rPr>
                <w:rFonts w:hint="eastAsia" w:ascii="仿宋_GB2312" w:hAnsi="仿宋_GB2312" w:eastAsia="仿宋_GB2312" w:cs="仿宋_GB2312"/>
                <w:snapToGrid w:val="0"/>
                <w:color w:val="auto"/>
                <w:sz w:val="20"/>
                <w:szCs w:val="20"/>
                <w:highlight w:val="none"/>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社会经济发展办公室</w:t>
            </w:r>
            <w:r>
              <w:rPr>
                <w:rFonts w:hint="eastAsia" w:ascii="仿宋_GB2312" w:hAnsi="仿宋_GB2312" w:eastAsia="仿宋_GB2312" w:cs="仿宋_GB2312"/>
                <w:kern w:val="0"/>
                <w:sz w:val="20"/>
                <w:szCs w:val="20"/>
                <w:highlight w:val="none"/>
                <w:lang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1.对统计调查对象提供的统计资料进行审核；</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 xml:space="preserve"> 1.未对统计调查对象提供的统计资料进行审核；</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 xml:space="preserve"> 2.不督促指导统计调查对象依法予以补充或者改正。</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法律】《中华人民共和国统计法》（1983年12月8日第六届全国人民代表大会常务委员会第三次会议通过，1996年5月15日第八届全国人民代表大会常务委员会第十九次会议修正，2009年6月27日第十一届全国人民代表大会常务委员会第九次会议修订）第三十七条 地方人民政府、政府统计机构或者有关部门、单位的负责人有下列行为之一的，由任免机关或者监察机关依法给予处分，并由县级以上人民政府统计机构予以通报：</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（一）自行修改统计资料、编造虚假统计数据的；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（二）要求统计机构、统计人员或者其他机构、人员伪造、篡改统计资料的；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（三）对依法履行职责或者拒绝、抵制统计违法行为的统计人员打击报复的；</w:t>
            </w:r>
          </w:p>
          <w:p>
            <w:pPr>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（四）对本地方、本部门、本单位发生的严重统计违法行为失察的。</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pacing w:val="-2"/>
                <w:kern w:val="0"/>
                <w:sz w:val="20"/>
                <w:szCs w:val="20"/>
                <w:highlight w:val="none"/>
              </w:rPr>
              <w:t>法律法规规定的免责情形</w:t>
            </w:r>
            <w:r>
              <w:rPr>
                <w:rFonts w:hint="eastAsia" w:ascii="仿宋_GB2312" w:hAnsi="仿宋_GB2312" w:eastAsia="仿宋_GB2312" w:cs="仿宋_GB2312"/>
                <w:spacing w:val="-2"/>
                <w:kern w:val="0"/>
                <w:sz w:val="20"/>
                <w:szCs w:val="20"/>
                <w:highlight w:val="none"/>
                <w:lang w:eastAsia="zh-CN"/>
              </w:rPr>
              <w:t>及县委、县人民政府</w:t>
            </w:r>
            <w:r>
              <w:rPr>
                <w:rFonts w:hint="eastAsia" w:ascii="仿宋_GB2312" w:hAnsi="仿宋_GB2312" w:eastAsia="仿宋_GB2312" w:cs="仿宋_GB2312"/>
                <w:spacing w:val="-2"/>
                <w:kern w:val="0"/>
                <w:sz w:val="20"/>
                <w:szCs w:val="20"/>
                <w:highlight w:val="none"/>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2697" w:hRule="atLeast"/>
          <w:jc w:val="center"/>
        </w:trPr>
        <w:tc>
          <w:tcPr>
            <w:tcW w:w="52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35</w:t>
            </w:r>
          </w:p>
        </w:tc>
        <w:tc>
          <w:tcPr>
            <w:tcW w:w="45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其他行政权力</w:t>
            </w: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出具非医学需要鉴定胎儿性别和选择性终止妊娠的证明</w:t>
            </w:r>
          </w:p>
        </w:tc>
        <w:tc>
          <w:tcPr>
            <w:tcW w:w="60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snapToGrid w:val="0"/>
                <w:color w:val="auto"/>
                <w:sz w:val="20"/>
                <w:szCs w:val="20"/>
                <w:highlight w:val="none"/>
                <w:lang w:val="en-US" w:eastAsia="zh-CN"/>
              </w:rPr>
              <w:t>三江侗族自治县古宜镇人民政府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rPr>
            </w:pPr>
            <w:r>
              <w:rPr>
                <w:rFonts w:hint="default" w:ascii="仿宋_GB2312" w:hAnsi="仿宋_GB2312" w:eastAsia="仿宋_GB2312" w:cs="仿宋_GB2312"/>
                <w:color w:val="auto"/>
                <w:kern w:val="0"/>
                <w:sz w:val="20"/>
                <w:szCs w:val="20"/>
                <w:highlight w:val="none"/>
                <w:lang w:val="en-US" w:eastAsia="zh-CN"/>
              </w:rPr>
              <w:t>行政审批和政务服务中心</w:t>
            </w:r>
          </w:p>
        </w:tc>
        <w:tc>
          <w:tcPr>
            <w:tcW w:w="293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符合法定生育条件且妊娠十四周以上的妇女不得人工终止妊娠，但有下列情形之一的除外：</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（一）胎儿有严重缺陷或者患有严重遗传性疾病的；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（二）妊娠妇女患有严重疾病，继续妊娠将危及生命安全或者严重危害健康的；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（三）经自治区人民政府卫生行政部门指定的医疗保健机构诊断认为需要终止妊娠的；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（四）离婚、丧偶等要求终止妊娠的。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第十</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医疗保健机构或者计划生育技术服务机构施行人工终止妊娠手术前，应当遵守下列规定：</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（一）有第八条和第九条第一项、第二项、第三项规定情形之一的，查验本人身份证明和自治区人民政府卫生行政部门指定的医疗保健机构或者开展产前诊断的县级以上医疗保健机构出具的医学诊断证明；</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1.受理环节责任：公示依法应当提交的材料和受理条件；一次性告知补齐补正材料；依法受理或不予受理（不予受理应当告知理由）。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2.审查环节责任：审核材料真实性和合法性，并提出审查意见。</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3.决定环节责任：作出行政许可或不予行政许可的决定（不予许可的应书面说明理由，并告知当事人享有依法申请行政复议或提起行政诉讼的权利）。</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4.送达环节责任：准予许可的，制发许可证书或批件。</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5.</w:t>
            </w:r>
            <w:r>
              <w:rPr>
                <w:rFonts w:hint="eastAsia" w:ascii="仿宋_GB2312" w:hAnsi="仿宋_GB2312" w:eastAsia="仿宋_GB2312" w:cs="仿宋_GB2312"/>
                <w:color w:val="auto"/>
                <w:kern w:val="0"/>
                <w:sz w:val="20"/>
                <w:szCs w:val="20"/>
                <w:highlight w:val="none"/>
              </w:rPr>
              <w:t>其他法律法规规章文件规定应履行的责任。</w:t>
            </w:r>
          </w:p>
        </w:tc>
        <w:tc>
          <w:tcPr>
            <w:tcW w:w="381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1.【法律】</w:t>
            </w:r>
            <w:r>
              <w:rPr>
                <w:rFonts w:hint="eastAsia" w:ascii="仿宋_GB2312" w:hAnsi="仿宋_GB2312" w:eastAsia="仿宋_GB2312" w:cs="仿宋_GB2312"/>
                <w:color w:val="auto"/>
                <w:kern w:val="0"/>
                <w:sz w:val="20"/>
                <w:szCs w:val="20"/>
                <w:highlight w:val="none"/>
                <w:lang w:eastAsia="zh-CN"/>
              </w:rPr>
              <w:t>《中华人民共和国行政许可法》</w:t>
            </w:r>
            <w:r>
              <w:rPr>
                <w:rFonts w:hint="eastAsia" w:ascii="仿宋_GB2312" w:hAnsi="仿宋_GB2312" w:eastAsia="仿宋_GB2312" w:cs="仿宋_GB2312"/>
                <w:color w:val="auto"/>
                <w:kern w:val="0"/>
                <w:sz w:val="20"/>
                <w:szCs w:val="20"/>
                <w:highlight w:val="none"/>
              </w:rPr>
              <w:t>第三十</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2.【法律】</w:t>
            </w:r>
            <w:r>
              <w:rPr>
                <w:rFonts w:hint="eastAsia" w:ascii="仿宋_GB2312" w:hAnsi="仿宋_GB2312" w:eastAsia="仿宋_GB2312" w:cs="仿宋_GB2312"/>
                <w:color w:val="auto"/>
                <w:kern w:val="0"/>
                <w:sz w:val="20"/>
                <w:szCs w:val="20"/>
                <w:highlight w:val="none"/>
                <w:lang w:eastAsia="zh-CN"/>
              </w:rPr>
              <w:t>《中华人民共和国行政许可法》</w:t>
            </w:r>
            <w:r>
              <w:rPr>
                <w:rFonts w:hint="eastAsia" w:ascii="仿宋_GB2312" w:hAnsi="仿宋_GB2312" w:eastAsia="仿宋_GB2312" w:cs="仿宋_GB2312"/>
                <w:color w:val="auto"/>
                <w:kern w:val="0"/>
                <w:sz w:val="20"/>
                <w:szCs w:val="20"/>
                <w:highlight w:val="none"/>
              </w:rPr>
              <w:t>第三十四</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3.【法律】</w:t>
            </w:r>
            <w:r>
              <w:rPr>
                <w:rFonts w:hint="eastAsia" w:ascii="仿宋_GB2312" w:hAnsi="仿宋_GB2312" w:eastAsia="仿宋_GB2312" w:cs="仿宋_GB2312"/>
                <w:color w:val="auto"/>
                <w:kern w:val="0"/>
                <w:sz w:val="20"/>
                <w:szCs w:val="20"/>
                <w:highlight w:val="none"/>
                <w:lang w:eastAsia="zh-CN"/>
              </w:rPr>
              <w:t>《中华人民共和国行政许可法》</w:t>
            </w:r>
            <w:r>
              <w:rPr>
                <w:rFonts w:hint="eastAsia" w:ascii="仿宋_GB2312" w:hAnsi="仿宋_GB2312" w:eastAsia="仿宋_GB2312" w:cs="仿宋_GB2312"/>
                <w:color w:val="auto"/>
                <w:kern w:val="0"/>
                <w:sz w:val="20"/>
                <w:szCs w:val="20"/>
                <w:highlight w:val="none"/>
              </w:rPr>
              <w:t>第三十八</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4.【法律】</w:t>
            </w:r>
            <w:r>
              <w:rPr>
                <w:rFonts w:hint="eastAsia" w:ascii="仿宋_GB2312" w:hAnsi="仿宋_GB2312" w:eastAsia="仿宋_GB2312" w:cs="仿宋_GB2312"/>
                <w:color w:val="auto"/>
                <w:kern w:val="0"/>
                <w:sz w:val="20"/>
                <w:szCs w:val="20"/>
                <w:highlight w:val="none"/>
                <w:lang w:eastAsia="zh-CN"/>
              </w:rPr>
              <w:t>《中华人民共和国行政许可法》</w:t>
            </w:r>
            <w:r>
              <w:rPr>
                <w:rFonts w:hint="eastAsia" w:ascii="仿宋_GB2312" w:hAnsi="仿宋_GB2312" w:eastAsia="仿宋_GB2312" w:cs="仿宋_GB2312"/>
                <w:color w:val="auto"/>
                <w:kern w:val="0"/>
                <w:sz w:val="20"/>
                <w:szCs w:val="20"/>
                <w:highlight w:val="none"/>
              </w:rPr>
              <w:t>第四十四</w:t>
            </w:r>
            <w:r>
              <w:rPr>
                <w:rFonts w:hint="eastAsia" w:ascii="仿宋_GB2312" w:hAnsi="仿宋_GB2312" w:eastAsia="仿宋_GB2312" w:cs="仿宋_GB2312"/>
                <w:color w:val="auto"/>
                <w:kern w:val="0"/>
                <w:sz w:val="20"/>
                <w:szCs w:val="20"/>
                <w:highlight w:val="none"/>
                <w:lang w:eastAsia="zh-CN"/>
              </w:rPr>
              <w:t>条：</w:t>
            </w:r>
            <w:r>
              <w:rPr>
                <w:rFonts w:hint="eastAsia" w:ascii="仿宋_GB2312" w:hAnsi="仿宋_GB2312" w:eastAsia="仿宋_GB2312" w:cs="仿宋_GB2312"/>
                <w:color w:val="auto"/>
                <w:kern w:val="0"/>
                <w:sz w:val="20"/>
                <w:szCs w:val="20"/>
                <w:highlight w:val="none"/>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 xml:space="preserve"> 因不履行或不正确履行行政职责，有下列情形的，行政机关及相关工作人员应承担相应责任：</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 xml:space="preserve">    1.对符合法定条件的申请不予受理；</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 xml:space="preserve">    2.对不符合条件的申请，违规受理，造成不良影响的；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 xml:space="preserve">    3.其他违反法律法规政策规定的行为。</w:t>
            </w:r>
          </w:p>
        </w:tc>
        <w:tc>
          <w:tcPr>
            <w:tcW w:w="416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 xml:space="preserve">  【法律】《行政许可法》（2003年主席令第七号公布）</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 xml:space="preserve">    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 xml:space="preserve">   </w:t>
            </w:r>
          </w:p>
        </w:tc>
        <w:tc>
          <w:tcPr>
            <w:tcW w:w="1170" w:type="dxa"/>
            <w:noWrap w:val="0"/>
            <w:tcMar>
              <w:top w:w="28" w:type="dxa"/>
              <w:left w:w="28" w:type="dxa"/>
              <w:bottom w:w="28" w:type="dxa"/>
              <w:right w:w="28" w:type="dxa"/>
            </w:tcMar>
            <w:vAlign w:val="center"/>
          </w:tcPr>
          <w:p>
            <w:pPr>
              <w:widowControl/>
              <w:adjustRightInd w:val="0"/>
              <w:snapToGrid w:val="0"/>
              <w:spacing w:line="300" w:lineRule="exact"/>
              <w:ind w:firstLine="392" w:firstLineChars="200"/>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spacing w:val="-2"/>
                <w:kern w:val="0"/>
                <w:sz w:val="20"/>
                <w:szCs w:val="20"/>
                <w:highlight w:val="none"/>
              </w:rPr>
              <w:t>法律法规规定的免责情形</w:t>
            </w:r>
            <w:r>
              <w:rPr>
                <w:rFonts w:hint="eastAsia" w:ascii="仿宋_GB2312" w:hAnsi="仿宋_GB2312" w:eastAsia="仿宋_GB2312" w:cs="仿宋_GB2312"/>
                <w:spacing w:val="-2"/>
                <w:kern w:val="0"/>
                <w:sz w:val="20"/>
                <w:szCs w:val="20"/>
                <w:highlight w:val="none"/>
                <w:lang w:eastAsia="zh-CN"/>
              </w:rPr>
              <w:t>及县委、县人民政府</w:t>
            </w:r>
            <w:r>
              <w:rPr>
                <w:rFonts w:hint="eastAsia" w:ascii="仿宋_GB2312" w:hAnsi="仿宋_GB2312" w:eastAsia="仿宋_GB2312" w:cs="仿宋_GB2312"/>
                <w:spacing w:val="-2"/>
                <w:kern w:val="0"/>
                <w:sz w:val="20"/>
                <w:szCs w:val="20"/>
                <w:highlight w:val="none"/>
              </w:rPr>
              <w:t>有关文件中明确的免责情形</w:t>
            </w:r>
          </w:p>
        </w:tc>
        <w:tc>
          <w:tcPr>
            <w:tcW w:w="737"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highlight w:val="none"/>
                <w:lang w:val="en-US" w:eastAsia="zh-CN"/>
              </w:rPr>
            </w:pPr>
          </w:p>
        </w:tc>
      </w:tr>
    </w:tbl>
    <w:p>
      <w:pPr>
        <w:rPr>
          <w:rFonts w:hint="eastAsia" w:ascii="仿宋_GB2312" w:hAnsi="仿宋_GB2312" w:eastAsia="仿宋_GB2312" w:cs="仿宋_GB2312"/>
          <w:sz w:val="20"/>
          <w:szCs w:val="20"/>
          <w:highlight w:val="none"/>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DejaVu Sans">
    <w:altName w:val="Segoe Print"/>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MTE0N2ZkNTM5ZWZlMzRmMmI1OWUwM2EzN2I5NWIifQ=="/>
  </w:docVars>
  <w:rsids>
    <w:rsidRoot w:val="5DCA0F26"/>
    <w:rsid w:val="00E37E46"/>
    <w:rsid w:val="015F5DD0"/>
    <w:rsid w:val="031569F5"/>
    <w:rsid w:val="04FE56D2"/>
    <w:rsid w:val="05460069"/>
    <w:rsid w:val="057C552B"/>
    <w:rsid w:val="06820D66"/>
    <w:rsid w:val="068E2344"/>
    <w:rsid w:val="06D575E9"/>
    <w:rsid w:val="077F14C3"/>
    <w:rsid w:val="07F72B3F"/>
    <w:rsid w:val="08DE3DA3"/>
    <w:rsid w:val="0A3751CF"/>
    <w:rsid w:val="0ABF2C8D"/>
    <w:rsid w:val="0B552AA6"/>
    <w:rsid w:val="0C9E722C"/>
    <w:rsid w:val="0D164AB3"/>
    <w:rsid w:val="0D16768D"/>
    <w:rsid w:val="0DDA7834"/>
    <w:rsid w:val="0E6354DA"/>
    <w:rsid w:val="0EF7654A"/>
    <w:rsid w:val="10797AFB"/>
    <w:rsid w:val="10845C94"/>
    <w:rsid w:val="10E52823"/>
    <w:rsid w:val="110113F5"/>
    <w:rsid w:val="116B5E91"/>
    <w:rsid w:val="12371472"/>
    <w:rsid w:val="13234B6C"/>
    <w:rsid w:val="138446FB"/>
    <w:rsid w:val="13AD0114"/>
    <w:rsid w:val="13F13B5D"/>
    <w:rsid w:val="144775E6"/>
    <w:rsid w:val="14F7361D"/>
    <w:rsid w:val="15F32621"/>
    <w:rsid w:val="16957FFC"/>
    <w:rsid w:val="169D22EB"/>
    <w:rsid w:val="17421926"/>
    <w:rsid w:val="175E564A"/>
    <w:rsid w:val="17845CA2"/>
    <w:rsid w:val="178C1FD1"/>
    <w:rsid w:val="179D3B41"/>
    <w:rsid w:val="1830753E"/>
    <w:rsid w:val="195F2281"/>
    <w:rsid w:val="19DB6FDF"/>
    <w:rsid w:val="1AC14290"/>
    <w:rsid w:val="1CB42226"/>
    <w:rsid w:val="1CDF6673"/>
    <w:rsid w:val="1D507EB3"/>
    <w:rsid w:val="1F87779B"/>
    <w:rsid w:val="204460F6"/>
    <w:rsid w:val="20515ADA"/>
    <w:rsid w:val="20753B32"/>
    <w:rsid w:val="208F59DE"/>
    <w:rsid w:val="217E4362"/>
    <w:rsid w:val="21BF4218"/>
    <w:rsid w:val="221B240C"/>
    <w:rsid w:val="230A01C2"/>
    <w:rsid w:val="240F619A"/>
    <w:rsid w:val="2416386D"/>
    <w:rsid w:val="25B65CEB"/>
    <w:rsid w:val="2722104F"/>
    <w:rsid w:val="27532294"/>
    <w:rsid w:val="277F2F2D"/>
    <w:rsid w:val="280E2503"/>
    <w:rsid w:val="28294644"/>
    <w:rsid w:val="2ABF7F77"/>
    <w:rsid w:val="2C4415B0"/>
    <w:rsid w:val="2DEB48D6"/>
    <w:rsid w:val="2E323F3D"/>
    <w:rsid w:val="2F3A4283"/>
    <w:rsid w:val="2F921111"/>
    <w:rsid w:val="3148081D"/>
    <w:rsid w:val="31D62E1D"/>
    <w:rsid w:val="32694107"/>
    <w:rsid w:val="32AC4EE2"/>
    <w:rsid w:val="32BC063A"/>
    <w:rsid w:val="32FE65F6"/>
    <w:rsid w:val="330A4270"/>
    <w:rsid w:val="331D35FA"/>
    <w:rsid w:val="334E5EA9"/>
    <w:rsid w:val="338323E4"/>
    <w:rsid w:val="33C344F4"/>
    <w:rsid w:val="340706E9"/>
    <w:rsid w:val="34336FF2"/>
    <w:rsid w:val="359B0B00"/>
    <w:rsid w:val="360965D7"/>
    <w:rsid w:val="366E215D"/>
    <w:rsid w:val="36C41867"/>
    <w:rsid w:val="36CA4935"/>
    <w:rsid w:val="37983B97"/>
    <w:rsid w:val="385D2697"/>
    <w:rsid w:val="3A3F1455"/>
    <w:rsid w:val="3A4B6C12"/>
    <w:rsid w:val="3A7F1E32"/>
    <w:rsid w:val="3AB41D1C"/>
    <w:rsid w:val="3B384752"/>
    <w:rsid w:val="3B9A23E6"/>
    <w:rsid w:val="3BD6018C"/>
    <w:rsid w:val="3C19653A"/>
    <w:rsid w:val="3D4963CF"/>
    <w:rsid w:val="3D637687"/>
    <w:rsid w:val="3E520A0E"/>
    <w:rsid w:val="3F1E642D"/>
    <w:rsid w:val="3F5C58B2"/>
    <w:rsid w:val="403F656D"/>
    <w:rsid w:val="407A02AE"/>
    <w:rsid w:val="41A575DC"/>
    <w:rsid w:val="4339149F"/>
    <w:rsid w:val="43DC0EAD"/>
    <w:rsid w:val="44504CFF"/>
    <w:rsid w:val="449D3834"/>
    <w:rsid w:val="45034D45"/>
    <w:rsid w:val="45BE69EE"/>
    <w:rsid w:val="45C046FE"/>
    <w:rsid w:val="466752F2"/>
    <w:rsid w:val="46B95949"/>
    <w:rsid w:val="47056F72"/>
    <w:rsid w:val="47274BDA"/>
    <w:rsid w:val="473C4359"/>
    <w:rsid w:val="476F48BD"/>
    <w:rsid w:val="47F52506"/>
    <w:rsid w:val="48616501"/>
    <w:rsid w:val="498F1A9B"/>
    <w:rsid w:val="4A1D4FA7"/>
    <w:rsid w:val="4A46080E"/>
    <w:rsid w:val="4C026487"/>
    <w:rsid w:val="4C0902B0"/>
    <w:rsid w:val="4D1A1CDF"/>
    <w:rsid w:val="4D3032B0"/>
    <w:rsid w:val="4F1B2C8C"/>
    <w:rsid w:val="4FD82365"/>
    <w:rsid w:val="50103C1A"/>
    <w:rsid w:val="5283444E"/>
    <w:rsid w:val="53227120"/>
    <w:rsid w:val="544B5FDC"/>
    <w:rsid w:val="54813591"/>
    <w:rsid w:val="54B54496"/>
    <w:rsid w:val="54DA05AA"/>
    <w:rsid w:val="54ED6EBD"/>
    <w:rsid w:val="54FB29CE"/>
    <w:rsid w:val="552117E0"/>
    <w:rsid w:val="552A088E"/>
    <w:rsid w:val="56067C81"/>
    <w:rsid w:val="56220954"/>
    <w:rsid w:val="5667559D"/>
    <w:rsid w:val="58785589"/>
    <w:rsid w:val="5A05197F"/>
    <w:rsid w:val="5A221B66"/>
    <w:rsid w:val="5AD00162"/>
    <w:rsid w:val="5AD2718F"/>
    <w:rsid w:val="5BFD58CF"/>
    <w:rsid w:val="5D3D6DEF"/>
    <w:rsid w:val="5DCA0F26"/>
    <w:rsid w:val="5E540135"/>
    <w:rsid w:val="606E4E45"/>
    <w:rsid w:val="60AE592B"/>
    <w:rsid w:val="6106379C"/>
    <w:rsid w:val="618D7A19"/>
    <w:rsid w:val="632471DC"/>
    <w:rsid w:val="64B42626"/>
    <w:rsid w:val="670A7A34"/>
    <w:rsid w:val="68B021EF"/>
    <w:rsid w:val="69AA263B"/>
    <w:rsid w:val="6B7439F8"/>
    <w:rsid w:val="6B8A0454"/>
    <w:rsid w:val="6C1A3DE9"/>
    <w:rsid w:val="6D375CEF"/>
    <w:rsid w:val="6DB23336"/>
    <w:rsid w:val="6DCC3F57"/>
    <w:rsid w:val="6E1E2DBD"/>
    <w:rsid w:val="6EE25D58"/>
    <w:rsid w:val="6F10581E"/>
    <w:rsid w:val="700A405F"/>
    <w:rsid w:val="70C70C40"/>
    <w:rsid w:val="723F6B0D"/>
    <w:rsid w:val="740B3259"/>
    <w:rsid w:val="74E514C2"/>
    <w:rsid w:val="75653527"/>
    <w:rsid w:val="75C3369B"/>
    <w:rsid w:val="75D645FB"/>
    <w:rsid w:val="760D4499"/>
    <w:rsid w:val="76497137"/>
    <w:rsid w:val="76A93F86"/>
    <w:rsid w:val="7763527B"/>
    <w:rsid w:val="776D5413"/>
    <w:rsid w:val="77733A96"/>
    <w:rsid w:val="779B2290"/>
    <w:rsid w:val="78080136"/>
    <w:rsid w:val="78105AA2"/>
    <w:rsid w:val="786C12F2"/>
    <w:rsid w:val="792228BA"/>
    <w:rsid w:val="79407273"/>
    <w:rsid w:val="798C21A4"/>
    <w:rsid w:val="79DA6121"/>
    <w:rsid w:val="7A7C72A1"/>
    <w:rsid w:val="7ACE0058"/>
    <w:rsid w:val="7AE07DDC"/>
    <w:rsid w:val="7AEE7234"/>
    <w:rsid w:val="7AF62418"/>
    <w:rsid w:val="7B7F7B3F"/>
    <w:rsid w:val="7D816EE4"/>
    <w:rsid w:val="7EA44011"/>
    <w:rsid w:val="7EBC71A1"/>
    <w:rsid w:val="7F16390D"/>
    <w:rsid w:val="7F7D45B6"/>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qFormat/>
    <w:uiPriority w:val="0"/>
    <w:pPr>
      <w:snapToGrid w:val="0"/>
      <w:jc w:val="left"/>
    </w:pPr>
    <w:rPr>
      <w:rFonts w:ascii="Times New Roman" w:hAnsi="Times New Roman"/>
      <w:kern w:val="0"/>
      <w:sz w:val="18"/>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1"/>
    <w:next w:val="1"/>
    <w:qFormat/>
    <w:uiPriority w:val="0"/>
    <w:pPr>
      <w:spacing w:after="120"/>
      <w:ind w:left="200" w:leftChars="200" w:firstLine="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21"/>
    <w:qFormat/>
    <w:uiPriority w:val="0"/>
    <w:rPr>
      <w:rFonts w:hint="eastAsia" w:ascii="宋体" w:hAnsi="宋体" w:eastAsia="宋体"/>
      <w:color w:val="000000"/>
      <w:sz w:val="20"/>
      <w:szCs w:val="20"/>
      <w:u w:val="none"/>
    </w:rPr>
  </w:style>
  <w:style w:type="character" w:customStyle="1" w:styleId="13">
    <w:name w:val="font61"/>
    <w:qFormat/>
    <w:uiPriority w:val="0"/>
    <w:rPr>
      <w:rFonts w:hint="default" w:ascii="Times New Roman" w:hAnsi="Times New Roman" w:cs="Times New Roman"/>
      <w:color w:val="000000"/>
      <w:sz w:val="20"/>
      <w:szCs w:val="20"/>
      <w:u w:val="none"/>
    </w:rPr>
  </w:style>
  <w:style w:type="character" w:customStyle="1" w:styleId="14">
    <w:name w:val="font51"/>
    <w:qFormat/>
    <w:uiPriority w:val="0"/>
    <w:rPr>
      <w:rFonts w:hint="eastAsia" w:ascii="宋体" w:hAnsi="宋体" w:eastAsia="宋体"/>
      <w:color w:val="000000"/>
      <w:sz w:val="20"/>
      <w:szCs w:val="20"/>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81"/>
    <w:basedOn w:val="11"/>
    <w:qFormat/>
    <w:uiPriority w:val="0"/>
    <w:rPr>
      <w:rFonts w:ascii="DejaVu Sans" w:hAnsi="DejaVu Sans" w:eastAsia="DejaVu Sans" w:cs="DejaVu Sans"/>
      <w:color w:val="FF0000"/>
      <w:sz w:val="18"/>
      <w:szCs w:val="18"/>
      <w:u w:val="none"/>
    </w:rPr>
  </w:style>
  <w:style w:type="character" w:customStyle="1" w:styleId="17">
    <w:name w:val="font31"/>
    <w:basedOn w:val="11"/>
    <w:qFormat/>
    <w:uiPriority w:val="0"/>
    <w:rPr>
      <w:rFonts w:hint="default" w:ascii="方正书宋_GBK" w:hAnsi="方正书宋_GBK" w:eastAsia="方正书宋_GBK" w:cs="方正书宋_GBK"/>
      <w:color w:val="FF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115809</Words>
  <Characters>118644</Characters>
  <Lines>0</Lines>
  <Paragraphs>0</Paragraphs>
  <TotalTime>76</TotalTime>
  <ScaleCrop>false</ScaleCrop>
  <LinksUpToDate>false</LinksUpToDate>
  <CharactersWithSpaces>119568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Jenny</cp:lastModifiedBy>
  <dcterms:modified xsi:type="dcterms:W3CDTF">2023-03-03T02:24:26Z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F4658AE213AC4CEFB7F94BEBFE23B436</vt:lpwstr>
  </property>
</Properties>
</file>