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napToGrid w:val="0"/>
          <w:color w:val="auto"/>
          <w:kern w:val="21"/>
          <w:sz w:val="36"/>
          <w:szCs w:val="36"/>
          <w:highlight w:val="none"/>
          <w:lang w:eastAsia="zh-CN"/>
        </w:rPr>
      </w:pPr>
      <w:bookmarkStart w:id="0" w:name="_GoBack"/>
      <w:bookmarkEnd w:id="0"/>
      <w:r>
        <w:rPr>
          <w:rFonts w:hint="eastAsia" w:ascii="方正小标宋_GBK" w:hAnsi="方正小标宋_GBK" w:eastAsia="方正小标宋_GBK" w:cs="方正小标宋_GBK"/>
          <w:snapToGrid w:val="0"/>
          <w:color w:val="auto"/>
          <w:kern w:val="21"/>
          <w:sz w:val="36"/>
          <w:szCs w:val="36"/>
          <w:highlight w:val="none"/>
          <w:lang w:val="en-US" w:eastAsia="zh-CN"/>
        </w:rPr>
        <w:t>三江侗族自治县</w:t>
      </w:r>
      <w:r>
        <w:rPr>
          <w:rFonts w:hint="eastAsia" w:ascii="方正小标宋_GBK" w:hAnsi="方正小标宋_GBK" w:eastAsia="方正小标宋_GBK" w:cs="方正小标宋_GBK"/>
          <w:snapToGrid w:val="0"/>
          <w:color w:val="auto"/>
          <w:kern w:val="21"/>
          <w:sz w:val="36"/>
          <w:szCs w:val="36"/>
          <w:highlight w:val="none"/>
          <w:lang w:eastAsia="zh-CN"/>
        </w:rPr>
        <w:t>农业农村系统政府信息主动公开事项目录</w:t>
      </w:r>
    </w:p>
    <w:p>
      <w:pPr>
        <w:rPr>
          <w:rFonts w:hint="eastAsia"/>
          <w:lang w:val="en-US" w:eastAsia="zh-CN"/>
        </w:rPr>
      </w:pPr>
    </w:p>
    <w:tbl>
      <w:tblPr>
        <w:tblStyle w:val="7"/>
        <w:tblW w:w="5473" w:type="pct"/>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754"/>
        <w:gridCol w:w="1280"/>
        <w:gridCol w:w="1198"/>
        <w:gridCol w:w="1509"/>
        <w:gridCol w:w="1231"/>
        <w:gridCol w:w="2871"/>
        <w:gridCol w:w="1608"/>
        <w:gridCol w:w="1099"/>
        <w:gridCol w:w="1542"/>
        <w:gridCol w:w="1280"/>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blHeader/>
        </w:trPr>
        <w:tc>
          <w:tcPr>
            <w:tcW w:w="69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序号</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事项名称</w:t>
            </w:r>
          </w:p>
        </w:tc>
        <w:tc>
          <w:tcPr>
            <w:tcW w:w="109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所属类型</w:t>
            </w:r>
          </w:p>
        </w:tc>
        <w:tc>
          <w:tcPr>
            <w:tcW w:w="138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公开内容</w:t>
            </w:r>
          </w:p>
        </w:tc>
        <w:tc>
          <w:tcPr>
            <w:tcW w:w="11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公开主体</w:t>
            </w:r>
          </w:p>
        </w:tc>
        <w:tc>
          <w:tcPr>
            <w:tcW w:w="262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公开依据</w:t>
            </w:r>
          </w:p>
        </w:tc>
        <w:tc>
          <w:tcPr>
            <w:tcW w:w="14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公开时限</w:t>
            </w:r>
          </w:p>
        </w:tc>
        <w:tc>
          <w:tcPr>
            <w:tcW w:w="100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公开期限</w:t>
            </w:r>
          </w:p>
        </w:tc>
        <w:tc>
          <w:tcPr>
            <w:tcW w:w="141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公开渠道</w:t>
            </w:r>
          </w:p>
        </w:tc>
        <w:tc>
          <w:tcPr>
            <w:tcW w:w="1170"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未依法公开承担责任单位</w:t>
            </w:r>
          </w:p>
        </w:tc>
        <w:tc>
          <w:tcPr>
            <w:tcW w:w="885" w:type="dxa"/>
            <w:noWrap w:val="0"/>
            <w:vAlign w:val="center"/>
          </w:tcPr>
          <w:p>
            <w:pPr>
              <w:adjustRightInd w:val="0"/>
              <w:snapToGrid w:val="0"/>
              <w:spacing w:line="240" w:lineRule="exact"/>
              <w:jc w:val="center"/>
              <w:rPr>
                <w:rFonts w:hint="eastAsia" w:ascii="方正黑体_GBK" w:hAnsi="方正黑体_GBK" w:eastAsia="方正黑体_GBK" w:cs="方正黑体_GBK"/>
                <w:snapToGrid w:val="0"/>
                <w:color w:val="auto"/>
                <w:kern w:val="21"/>
                <w:sz w:val="18"/>
                <w:szCs w:val="18"/>
              </w:rPr>
            </w:pPr>
            <w:r>
              <w:rPr>
                <w:rFonts w:hint="eastAsia" w:ascii="方正黑体_GBK" w:hAnsi="方正黑体_GBK" w:eastAsia="方正黑体_GBK" w:cs="方正黑体_GBK"/>
                <w:snapToGrid w:val="0"/>
                <w:color w:val="auto"/>
                <w:kern w:val="21"/>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行政规范性文件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农业农村系统规范性文件及相关配套文件</w:t>
            </w:r>
          </w:p>
        </w:tc>
        <w:tc>
          <w:tcPr>
            <w:tcW w:w="1125"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snapToGrid w:val="0"/>
                <w:color w:val="auto"/>
                <w:kern w:val="21"/>
                <w:sz w:val="18"/>
                <w:szCs w:val="18"/>
                <w:lang w:val="en-US"/>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4"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机关职能、机构设置、办公地址、办公时间、联系方式、负责人姓名</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机构概况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机构职能（如属工作秘密则不公开）、机构设置、办公地址、办公时间、联系方式、负责人姓名、部门领导。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粮食生产专项规划及相关政策</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专项规划及相关政策</w:t>
            </w: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畜牧兽医专项规划及相关政策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渔业渔政专项规划及相关政策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2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农业产业发展专项规划及相关政策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农产品市场和信息化建设专项规划及相关政策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农田建设专项规划及相关政策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乡村建设专项规划及相关政策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农业种质资源保护专项规划及相关政策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农业科技专项规划及相关政策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乡村振兴帮扶规划及相关政策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农业新型经营主体发展和社会化服务专项规划和相关政策</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规划文本及政策解读</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15"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农业生产管理统计信息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农机购置与应用补贴信息公示；农机购置与应用补贴实施进度</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2.《中华人民共和国统计法》（2024修正）</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农业农村领域政务服务事项信息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政务服务</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农业农村领域办理行政许可和其他对外管理服务事项目录，行使事项的依据、条件、程序以及办理结果</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01"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农业农村领域行政处罚信息</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行政处罚、行政强制等</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农业农村领域行政处罚事项目录，实施行政处罚的依据、条件、程序以及相关行政处罚决定</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210"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财政预算、决算信息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县级以上农业农村主管部门年度预算、决算公开文本、报表</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3.《中华人民共和国预算法实施条例》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574"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“三公”经费的开支情况</w:t>
            </w:r>
          </w:p>
        </w:tc>
        <w:tc>
          <w:tcPr>
            <w:tcW w:w="1125" w:type="dxa"/>
            <w:shd w:val="clear" w:color="auto" w:fill="auto"/>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lang w:val="en-US" w:eastAsia="zh-CN" w:bidi="ar-SA"/>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2.《中华人民共和国预算法实施条例》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3.《财政部关于推进部门所属单位预算公开工作的指导意见》（财预〔2021〕29号）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经本级政府财政部门批复的部门预算及报表，应当在批复后二十日内向社会公开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县级农业农村主管部门及其二级预算单位</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12"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农业专业技术职务资格评审费</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行政事业性收费</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农业专业技术职务资格评审收费依据及标准</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2.《关于调整专业技术职务资格评价费收费标准的通知》（桂价费〔2006〕359号）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单位政府采购信息发布</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政府采购</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资格预审公告、采购公告、单一来源公示、框架协议公告、更正公告、中标（成交）结果公告、废标（中止）公告、合同公告、履约验收公告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2.《政府采购信息发布管理办法》</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3.《财政部关于做好政府采购信息公开工作的通知》（财库〔2015〕135号）</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4.《广西壮族自治区财政厅关于进一步做好政府采购信息发布工作的通知》（桂财采〔2024〕49号）</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标、成交结果应当自中标、成交供应商确定之日起2个工作日内公告，采购文件同时公告；更正事项应当在投标截止时间至少15日前，提交资格预审申请文件截止时间至少3日前，或者提交首次响应文件截止之日起3个工作日前；采购合同应当自合同签订之日起2个工作日内公告，涉密部分可以不公告</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招标公告、资格预审公告的公告期限为5个工作日；竞争性谈判公告、竞争性磋商公告和询价公告的公告期限为3个工作日；中标、成交结果的公告期限为1个工作日；单一来源公示期限不得少于5个工作日</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农业生产动物疫病防控监测预警</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突发公共事件</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重大动物疫病和畜间人兽共患病监测预警分析、防控建议；应对指南等</w:t>
            </w:r>
          </w:p>
        </w:tc>
        <w:tc>
          <w:tcPr>
            <w:tcW w:w="11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农业粮食作物生产病虫害防控监测预警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粮食作物病虫情报、防控建议、应急预案等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渔业生产病害监测预警</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渔业生产病害监控预警分析、防控建议、应急预案等</w:t>
            </w:r>
          </w:p>
        </w:tc>
        <w:tc>
          <w:tcPr>
            <w:tcW w:w="11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262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地方农药生产经营诚信档案</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监督检查情况</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辖区内农药生产、经营诚信档案</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2.《农药管理条例》</w:t>
            </w:r>
          </w:p>
        </w:tc>
        <w:tc>
          <w:tcPr>
            <w:tcW w:w="14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vMerge w:val="restart"/>
            <w:noWrap w:val="0"/>
            <w:vAlign w:val="center"/>
          </w:tcPr>
          <w:p>
            <w:pPr>
              <w:rPr>
                <w:rFonts w:hint="eastAsia"/>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p>
            <w:pPr>
              <w:rPr>
                <w:rFonts w:hint="eastAsia"/>
              </w:rPr>
            </w:pPr>
          </w:p>
        </w:tc>
        <w:tc>
          <w:tcPr>
            <w:tcW w:w="88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3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兽药经营企业监督检查结果相关通报</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1.《中华人民共和国政府信息公开条例》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2.《兽药管理条例》</w:t>
            </w:r>
          </w:p>
        </w:tc>
        <w:tc>
          <w:tcPr>
            <w:tcW w:w="147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00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410"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170"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c>
          <w:tcPr>
            <w:tcW w:w="885" w:type="dxa"/>
            <w:vMerge w:val="continue"/>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农作物栽培生产技术指导</w:t>
            </w:r>
          </w:p>
        </w:tc>
        <w:tc>
          <w:tcPr>
            <w:tcW w:w="1095" w:type="dxa"/>
            <w:vMerge w:val="restart"/>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其他重点领域信息</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农作物生产技术指导意见，以及相关惠农补贴等政策信息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水产养殖技术指导意见，以及相关惠农补贴等政策信息</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55"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畜禽水产疫病防控技术指导</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《农业农村部主动公开基本目录》（2024年版）</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政府信息公开指南</w:t>
            </w:r>
          </w:p>
        </w:tc>
        <w:tc>
          <w:tcPr>
            <w:tcW w:w="109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w:t>
            </w: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政府信息主动公开、依申请公开有关情况、监督方式等</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095" w:type="dxa"/>
            <w:vMerge w:val="restart"/>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政府信息主动公开事项目录</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信息形成或变更之日起20个工作日内公开</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69" w:hRule="atLeast"/>
        </w:trPr>
        <w:tc>
          <w:tcPr>
            <w:tcW w:w="690" w:type="dxa"/>
            <w:noWrap w:val="0"/>
            <w:vAlign w:val="center"/>
          </w:tcPr>
          <w:p>
            <w:pPr>
              <w:numPr>
                <w:ilvl w:val="0"/>
                <w:numId w:val="1"/>
              </w:numPr>
              <w:adjustRightInd w:val="0"/>
              <w:snapToGrid w:val="0"/>
              <w:spacing w:line="240" w:lineRule="exact"/>
              <w:jc w:val="center"/>
              <w:rPr>
                <w:rFonts w:eastAsia="方正仿宋_GBK"/>
                <w:snapToGrid w:val="0"/>
                <w:color w:val="auto"/>
                <w:kern w:val="21"/>
                <w:sz w:val="18"/>
                <w:szCs w:val="18"/>
              </w:rPr>
            </w:pP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095" w:type="dxa"/>
            <w:vMerge w:val="continue"/>
            <w:noWrap w:val="0"/>
            <w:vAlign w:val="center"/>
          </w:tcPr>
          <w:p>
            <w:pPr>
              <w:jc w:val="center"/>
              <w:rPr>
                <w:rFonts w:hint="eastAsia" w:ascii="方正仿宋_GBK" w:hAnsi="方正仿宋_GBK" w:eastAsia="方正仿宋_GBK" w:cs="方正仿宋_GBK"/>
                <w:snapToGrid w:val="0"/>
                <w:color w:val="auto"/>
                <w:kern w:val="21"/>
                <w:sz w:val="18"/>
                <w:szCs w:val="18"/>
              </w:rPr>
            </w:pPr>
          </w:p>
        </w:tc>
        <w:tc>
          <w:tcPr>
            <w:tcW w:w="138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政府信息公开工作年度报告</w:t>
            </w:r>
          </w:p>
        </w:tc>
        <w:tc>
          <w:tcPr>
            <w:tcW w:w="11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262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《中华人民共和国政府信息公开条例》</w:t>
            </w:r>
          </w:p>
        </w:tc>
        <w:tc>
          <w:tcPr>
            <w:tcW w:w="14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每年1月31日之前</w:t>
            </w:r>
          </w:p>
        </w:tc>
        <w:tc>
          <w:tcPr>
            <w:tcW w:w="100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长期</w:t>
            </w:r>
          </w:p>
        </w:tc>
        <w:tc>
          <w:tcPr>
            <w:tcW w:w="1410" w:type="dxa"/>
            <w:noWrap/>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三江侗族自治县人民政府门户网站</w:t>
            </w:r>
          </w:p>
        </w:tc>
        <w:tc>
          <w:tcPr>
            <w:tcW w:w="1170"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r>
              <w:rPr>
                <w:rFonts w:hint="eastAsia" w:ascii="方正仿宋_GBK" w:hAnsi="方正仿宋_GBK" w:eastAsia="方正仿宋_GBK" w:cs="方正仿宋_GBK"/>
                <w:i w:val="0"/>
                <w:color w:val="000000"/>
                <w:kern w:val="0"/>
                <w:sz w:val="18"/>
                <w:szCs w:val="18"/>
                <w:u w:val="none"/>
                <w:lang w:val="en-US" w:eastAsia="zh-CN" w:bidi="ar"/>
              </w:rPr>
              <w:t>县级农业农村主管部门</w:t>
            </w:r>
          </w:p>
        </w:tc>
        <w:tc>
          <w:tcPr>
            <w:tcW w:w="885" w:type="dxa"/>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snapToGrid w:val="0"/>
                <w:color w:val="auto"/>
                <w:kern w:val="21"/>
                <w:sz w:val="18"/>
                <w:szCs w:val="18"/>
              </w:rPr>
            </w:pP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Yqe7vBAQAAj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m5BoS7Y8LCpZ+MOkJNxXBKhdG0UXkN/ryXrKe/&#10;aPs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zql5uc8AAAAFAQAADwAAAAAAAAABACAAAAA4AAAA&#10;ZHJzL2Rvd25yZXYueG1sUEsBAhQAFAAAAAgAh07iQKYqe7vBAQAAjQMAAA4AAAAAAAAAAQAgAAAA&#10;NAEAAGRycy9lMm9Eb2MueG1sUEsFBgAAAAAGAAYAWQEAAGc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F1cnJ3c2s5Zjh0aHh6N2doZWZyOGs8L2FjY291bnQ+PG1hY2hpbmVDb2RlPlx4OTghRiBrSVx4ZmRceDFkCjwvbWFjaGluZUNvZGU+PHRpbWU+MjAyNS0xMi0zMSAxMDowNzowMTwvdGltZT48c3lzdGVtPk1CPHN5c3RlbT48L3RyYWNlPg==</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singleLevel"/>
    <w:tmpl w:val="0000002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F9BED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default" w:ascii="方正仿宋_GBK" w:hAnsi="方正仿宋_GBK" w:eastAsia="方正仿宋_GBK" w:cs="方正仿宋_GBK"/>
      <w:color w:val="000000"/>
      <w:sz w:val="18"/>
      <w:szCs w:val="18"/>
      <w:u w:val="none"/>
    </w:rPr>
  </w:style>
  <w:style w:type="character" w:customStyle="1" w:styleId="11">
    <w:name w:val="font31"/>
    <w:basedOn w:val="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2025-05-06T11:01:00Z</dcterms:created>
  <dc:creator>Administrator</dc:creator>
  <cp:lastModifiedBy>骄阳似我</cp:lastModifiedBy>
  <dcterms:modified xsi:type="dcterms:W3CDTF">2025-12-31T10:15:28Z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02B69092BCD5409BB707631B10BD1496</vt:lpwstr>
  </property>
  <property fmtid="{D5CDD505-2E9C-101B-9397-08002B2CF9AE}" pid="3" name="KSOProductBuildVer">
    <vt:lpwstr>2052-11.8.2.12344</vt:lpwstr>
  </property>
</Properties>
</file>