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36"/>
          <w:szCs w:val="36"/>
          <w:shd w:val="clear" w:color="auto" w:fill="FFFFFF"/>
        </w:rPr>
      </w:pPr>
      <w:r>
        <w:rPr>
          <w:rFonts w:hint="eastAsia" w:ascii="方正小标宋简体" w:hAnsi="方正小标宋简体" w:eastAsia="方正小标宋简体" w:cs="方正小标宋简体"/>
          <w:b w:val="0"/>
          <w:bCs w:val="0"/>
          <w:color w:val="auto"/>
          <w:sz w:val="36"/>
          <w:szCs w:val="36"/>
          <w:shd w:val="clear" w:color="auto" w:fill="FFFFFF"/>
        </w:rPr>
        <w:t>三江侗族自治县禁止开垦陡坡地范围划定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sz w:val="36"/>
          <w:szCs w:val="36"/>
          <w:shd w:val="clear" w:color="auto" w:fill="FFFFFF"/>
        </w:rPr>
      </w:pPr>
      <w:r>
        <w:rPr>
          <w:rFonts w:hint="eastAsia" w:ascii="方正小标宋简体" w:hAnsi="方正小标宋简体" w:eastAsia="方正小标宋简体" w:cs="方正小标宋简体"/>
          <w:b w:val="0"/>
          <w:bCs w:val="0"/>
          <w:color w:val="auto"/>
          <w:sz w:val="36"/>
          <w:szCs w:val="36"/>
          <w:shd w:val="clear" w:color="auto" w:fill="FFFFFF"/>
        </w:rPr>
        <w:t>基本情况</w:t>
      </w:r>
    </w:p>
    <w:p>
      <w:pPr>
        <w:pStyle w:val="3"/>
        <w:rPr>
          <w:rFonts w:ascii="Times New Roman" w:hAnsi="Times New Roman" w:cs="Times New Roman"/>
        </w:rPr>
      </w:pPr>
    </w:p>
    <w:p>
      <w:pPr>
        <w:keepNext w:val="0"/>
        <w:keepLines w:val="0"/>
        <w:pageBreakBefore w:val="0"/>
        <w:kinsoku/>
        <w:wordWrap/>
        <w:overflowPunct/>
        <w:topLinePunct w:val="0"/>
        <w:bidi w:val="0"/>
        <w:snapToGrid/>
        <w:spacing w:line="53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根据《中华人民共和国水土保持法》《广西壮族自治区实施〈中华人民共和国水土保持法〉办法》有关规定，结合我县实际，由县水利局牵头组织开展的三江侗族自治县禁垦陡坡地范围划定工作，在充分听取有关单位的意见并进行内、外业复核后，经柳州市水利局审核，形成了三江侗族自治县禁止开垦陡坡地范围划定成果。</w:t>
      </w:r>
    </w:p>
    <w:p>
      <w:pPr>
        <w:keepNext w:val="0"/>
        <w:keepLines w:val="0"/>
        <w:pageBreakBefore w:val="0"/>
        <w:kinsoku/>
        <w:wordWrap/>
        <w:overflowPunct/>
        <w:topLinePunct w:val="0"/>
        <w:bidi w:val="0"/>
        <w:snapToGrid/>
        <w:spacing w:line="53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我</w:t>
      </w:r>
      <w:r>
        <w:rPr>
          <w:rFonts w:hint="eastAsia" w:ascii="Times New Roman" w:hAnsi="Times New Roman" w:eastAsia="仿宋_GB2312" w:cs="Times New Roman"/>
          <w:sz w:val="32"/>
          <w:szCs w:val="32"/>
          <w:shd w:val="clear" w:color="auto" w:fill="FFFFFF"/>
        </w:rPr>
        <w:t>县</w:t>
      </w:r>
      <w:r>
        <w:rPr>
          <w:rFonts w:ascii="Times New Roman" w:hAnsi="Times New Roman" w:eastAsia="仿宋_GB2312" w:cs="Times New Roman"/>
          <w:sz w:val="32"/>
          <w:szCs w:val="32"/>
          <w:shd w:val="clear" w:color="auto" w:fill="FFFFFF"/>
        </w:rPr>
        <w:t>划定的禁止开垦陡坡地面积为</w:t>
      </w:r>
      <w:r>
        <w:rPr>
          <w:rFonts w:hint="eastAsia" w:ascii="Times New Roman" w:hAnsi="Times New Roman" w:eastAsia="仿宋_GB2312" w:cs="Times New Roman"/>
          <w:sz w:val="32"/>
          <w:szCs w:val="32"/>
          <w:shd w:val="clear" w:color="auto" w:fill="FFFFFF"/>
        </w:rPr>
        <w:t>1245.37</w:t>
      </w:r>
      <w:r>
        <w:rPr>
          <w:rFonts w:ascii="Times New Roman" w:hAnsi="Times New Roman" w:eastAsia="仿宋_GB2312" w:cs="Times New Roman"/>
          <w:sz w:val="32"/>
          <w:szCs w:val="32"/>
          <w:shd w:val="clear" w:color="auto" w:fill="FFFFFF"/>
        </w:rPr>
        <w:t xml:space="preserve"> km</w:t>
      </w:r>
      <w:r>
        <w:rPr>
          <w:rFonts w:ascii="Times New Roman" w:hAnsi="Times New Roman" w:eastAsia="仿宋_GB2312" w:cs="Times New Roman"/>
          <w:sz w:val="32"/>
          <w:szCs w:val="32"/>
          <w:shd w:val="clear" w:color="auto" w:fill="FFFFFF"/>
          <w:vertAlign w:val="superscript"/>
        </w:rPr>
        <w:t>2</w:t>
      </w:r>
      <w:r>
        <w:rPr>
          <w:rFonts w:ascii="Times New Roman" w:hAnsi="Times New Roman" w:eastAsia="仿宋_GB2312" w:cs="Times New Roman"/>
          <w:sz w:val="32"/>
          <w:szCs w:val="32"/>
          <w:shd w:val="clear" w:color="auto" w:fill="FFFFFF"/>
        </w:rPr>
        <w:t>，主要分布在</w:t>
      </w:r>
      <w:r>
        <w:rPr>
          <w:rFonts w:hint="eastAsia" w:ascii="Times New Roman" w:hAnsi="Times New Roman" w:eastAsia="仿宋_GB2312" w:cs="Times New Roman"/>
          <w:sz w:val="32"/>
          <w:szCs w:val="32"/>
          <w:shd w:val="clear" w:color="auto" w:fill="FFFFFF"/>
        </w:rPr>
        <w:t>八江乡、程村乡、丹洲镇、斗江镇、独峒乡、富禄苗族乡、高基瑶族乡、古宜镇、和平乡、老堡乡、良口乡、林溪乡、梅林乡、同乐苗族乡、洋溪乡</w:t>
      </w:r>
      <w:r>
        <w:rPr>
          <w:rFonts w:ascii="Times New Roman" w:hAnsi="Times New Roman" w:eastAsia="仿宋_GB2312" w:cs="Times New Roman"/>
          <w:sz w:val="32"/>
          <w:szCs w:val="32"/>
          <w:shd w:val="clear" w:color="auto" w:fill="FFFFFF"/>
        </w:rPr>
        <w:t>（各乡镇禁止开垦陡坡地范围见附表1，范围详见附件2：三江侗族自治县禁止开垦陡坡地范围分布图）。</w:t>
      </w:r>
    </w:p>
    <w:p>
      <w:pPr>
        <w:keepNext w:val="0"/>
        <w:keepLines w:val="0"/>
        <w:pageBreakBefore w:val="0"/>
        <w:kinsoku/>
        <w:wordWrap/>
        <w:overflowPunct/>
        <w:topLinePunct w:val="0"/>
        <w:bidi w:val="0"/>
        <w:snapToGrid/>
        <w:spacing w:after="156" w:afterLines="50" w:line="530" w:lineRule="exact"/>
        <w:jc w:val="center"/>
        <w:rPr>
          <w:rFonts w:ascii="Times New Roman" w:hAnsi="Times New Roman" w:eastAsia="仿宋_GB2312" w:cs="Times New Roman"/>
          <w:b/>
          <w:sz w:val="32"/>
          <w:szCs w:val="32"/>
        </w:rPr>
      </w:pPr>
      <w:r>
        <w:rPr>
          <w:rFonts w:ascii="Times New Roman" w:hAnsi="Times New Roman" w:eastAsia="仿宋_GB2312" w:cs="Times New Roman"/>
          <w:b/>
          <w:sz w:val="32"/>
          <w:szCs w:val="32"/>
        </w:rPr>
        <w:t>附表1：三江侗族自治县各乡镇禁止开垦陡坡地范围统计表</w:t>
      </w:r>
    </w:p>
    <w:tbl>
      <w:tblPr>
        <w:tblStyle w:val="7"/>
        <w:tblW w:w="9450" w:type="dxa"/>
        <w:jc w:val="center"/>
        <w:tblLayout w:type="fixed"/>
        <w:tblCellMar>
          <w:top w:w="0" w:type="dxa"/>
          <w:left w:w="108" w:type="dxa"/>
          <w:bottom w:w="0" w:type="dxa"/>
          <w:right w:w="108" w:type="dxa"/>
        </w:tblCellMar>
      </w:tblPr>
      <w:tblGrid>
        <w:gridCol w:w="562"/>
        <w:gridCol w:w="1418"/>
        <w:gridCol w:w="1417"/>
        <w:gridCol w:w="1418"/>
        <w:gridCol w:w="1276"/>
        <w:gridCol w:w="1249"/>
        <w:gridCol w:w="1019"/>
        <w:gridCol w:w="1091"/>
      </w:tblGrid>
      <w:tr>
        <w:tblPrEx>
          <w:tblCellMar>
            <w:top w:w="0" w:type="dxa"/>
            <w:left w:w="108" w:type="dxa"/>
            <w:bottom w:w="0" w:type="dxa"/>
            <w:right w:w="108" w:type="dxa"/>
          </w:tblCellMar>
        </w:tblPrEx>
        <w:trPr>
          <w:trHeight w:val="285" w:hRule="atLeast"/>
          <w:jc w:val="center"/>
        </w:trPr>
        <w:tc>
          <w:tcPr>
            <w:tcW w:w="56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333333"/>
                <w:sz w:val="24"/>
              </w:rPr>
            </w:pPr>
            <w:r>
              <w:rPr>
                <w:rFonts w:ascii="Times New Roman" w:hAnsi="Times New Roman" w:eastAsia="宋体" w:cs="Times New Roman"/>
                <w:color w:val="333333"/>
                <w:kern w:val="0"/>
                <w:sz w:val="24"/>
                <w:lang w:bidi="ar"/>
              </w:rPr>
              <w:t>序号</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333333"/>
                <w:sz w:val="24"/>
              </w:rPr>
            </w:pPr>
            <w:r>
              <w:rPr>
                <w:rFonts w:ascii="Times New Roman" w:hAnsi="Times New Roman" w:eastAsia="宋体" w:cs="Times New Roman"/>
                <w:color w:val="333333"/>
                <w:kern w:val="0"/>
                <w:sz w:val="24"/>
                <w:lang w:bidi="ar"/>
              </w:rPr>
              <w:t>乡镇名称</w:t>
            </w: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333333"/>
                <w:sz w:val="24"/>
              </w:rPr>
            </w:pPr>
            <w:r>
              <w:rPr>
                <w:rFonts w:ascii="Times New Roman" w:hAnsi="Times New Roman" w:eastAsia="宋体" w:cs="Times New Roman"/>
                <w:color w:val="333333"/>
                <w:kern w:val="0"/>
                <w:sz w:val="24"/>
                <w:lang w:bidi="ar"/>
              </w:rPr>
              <w:t>国土面积（km²）</w:t>
            </w:r>
          </w:p>
        </w:tc>
        <w:tc>
          <w:tcPr>
            <w:tcW w:w="141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333333"/>
                <w:sz w:val="24"/>
              </w:rPr>
            </w:pPr>
            <w:r>
              <w:rPr>
                <w:rFonts w:ascii="Times New Roman" w:hAnsi="Times New Roman" w:eastAsia="宋体" w:cs="Times New Roman"/>
                <w:color w:val="333333"/>
                <w:kern w:val="0"/>
                <w:sz w:val="24"/>
                <w:lang w:bidi="ar"/>
              </w:rPr>
              <w:t>禁止开垦陡坡地图斑数量（个）</w:t>
            </w:r>
          </w:p>
        </w:tc>
        <w:tc>
          <w:tcPr>
            <w:tcW w:w="463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333333"/>
                <w:sz w:val="24"/>
              </w:rPr>
            </w:pPr>
            <w:r>
              <w:rPr>
                <w:rFonts w:ascii="Times New Roman" w:hAnsi="Times New Roman" w:eastAsia="宋体" w:cs="Times New Roman"/>
                <w:color w:val="333333"/>
                <w:kern w:val="0"/>
                <w:sz w:val="24"/>
                <w:lang w:bidi="ar"/>
              </w:rPr>
              <w:t>禁止开垦陡坡地面积（km²）</w:t>
            </w:r>
          </w:p>
        </w:tc>
      </w:tr>
      <w:tr>
        <w:tblPrEx>
          <w:tblCellMar>
            <w:top w:w="0" w:type="dxa"/>
            <w:left w:w="108" w:type="dxa"/>
            <w:bottom w:w="0" w:type="dxa"/>
            <w:right w:w="108" w:type="dxa"/>
          </w:tblCellMar>
        </w:tblPrEx>
        <w:trPr>
          <w:trHeight w:val="270" w:hRule="atLeast"/>
          <w:jc w:val="center"/>
        </w:trPr>
        <w:tc>
          <w:tcPr>
            <w:tcW w:w="56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333333"/>
                <w:sz w:val="24"/>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333333"/>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333333"/>
                <w:sz w:val="24"/>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333333"/>
                <w:sz w:val="24"/>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合计</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林地</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草地</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color w:val="000000"/>
                <w:kern w:val="0"/>
                <w:sz w:val="24"/>
                <w:lang w:bidi="ar"/>
              </w:rPr>
              <w:t>裸土地</w:t>
            </w:r>
          </w:p>
        </w:tc>
      </w:tr>
      <w:tr>
        <w:tblPrEx>
          <w:tblCellMar>
            <w:top w:w="0" w:type="dxa"/>
            <w:left w:w="108" w:type="dxa"/>
            <w:bottom w:w="0" w:type="dxa"/>
            <w:right w:w="108" w:type="dxa"/>
          </w:tblCellMar>
        </w:tblPrEx>
        <w:trPr>
          <w:trHeight w:val="270" w:hRule="atLeast"/>
          <w:jc w:val="center"/>
        </w:trPr>
        <w:tc>
          <w:tcPr>
            <w:tcW w:w="19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b/>
                <w:bCs/>
                <w:color w:val="000000"/>
                <w:sz w:val="24"/>
              </w:rPr>
            </w:pPr>
            <w:r>
              <w:rPr>
                <w:rFonts w:ascii="Times New Roman" w:hAnsi="Times New Roman" w:eastAsia="宋体" w:cs="Times New Roman"/>
                <w:b/>
                <w:bCs/>
                <w:color w:val="000000"/>
                <w:kern w:val="0"/>
                <w:sz w:val="24"/>
                <w:lang w:bidi="ar"/>
              </w:rPr>
              <w:t>合计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rPr>
                <w:rFonts w:ascii="Times New Roman" w:hAnsi="Times New Roman" w:eastAsia="宋体" w:cs="Times New Roman"/>
                <w:b/>
                <w:bCs/>
                <w:sz w:val="24"/>
              </w:rPr>
            </w:pPr>
            <w:r>
              <w:rPr>
                <w:rFonts w:ascii="Times New Roman" w:hAnsi="Times New Roman" w:eastAsia="宋体" w:cs="Times New Roman"/>
                <w:b/>
                <w:bCs/>
                <w:sz w:val="24"/>
              </w:rPr>
              <w:t>2970.90</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rPr>
                <w:rFonts w:ascii="Times New Roman" w:hAnsi="Times New Roman" w:eastAsia="宋体" w:cs="Times New Roman"/>
                <w:b/>
                <w:bCs/>
                <w:color w:val="000000"/>
                <w:kern w:val="0"/>
                <w:sz w:val="24"/>
              </w:rPr>
            </w:pPr>
            <w:r>
              <w:rPr>
                <w:rFonts w:ascii="Times New Roman" w:hAnsi="Times New Roman" w:cs="Times New Roman"/>
                <w:b/>
                <w:bCs/>
                <w:color w:val="000000"/>
                <w:sz w:val="24"/>
              </w:rPr>
              <w:t>36665</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rPr>
                <w:rFonts w:ascii="Times New Roman" w:hAnsi="Times New Roman" w:cs="Times New Roman"/>
                <w:b/>
                <w:bCs/>
                <w:sz w:val="24"/>
              </w:rPr>
            </w:pPr>
            <w:r>
              <w:rPr>
                <w:rFonts w:ascii="Times New Roman" w:hAnsi="Times New Roman" w:cs="Times New Roman"/>
                <w:b/>
                <w:bCs/>
                <w:sz w:val="24"/>
              </w:rPr>
              <w:t>1245.37</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rPr>
                <w:rFonts w:ascii="Times New Roman" w:hAnsi="Times New Roman" w:cs="Times New Roman"/>
                <w:b/>
                <w:bCs/>
                <w:sz w:val="24"/>
              </w:rPr>
            </w:pPr>
            <w:r>
              <w:rPr>
                <w:rFonts w:ascii="Times New Roman" w:hAnsi="Times New Roman" w:cs="Times New Roman"/>
                <w:b/>
                <w:bCs/>
                <w:sz w:val="24"/>
              </w:rPr>
              <w:t>1240.28</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rPr>
                <w:rFonts w:ascii="Times New Roman" w:hAnsi="Times New Roman" w:cs="Times New Roman"/>
                <w:b/>
                <w:bCs/>
                <w:sz w:val="24"/>
              </w:rPr>
            </w:pPr>
            <w:r>
              <w:rPr>
                <w:rFonts w:ascii="Times New Roman" w:hAnsi="Times New Roman" w:cs="Times New Roman"/>
                <w:b/>
                <w:bCs/>
                <w:sz w:val="24"/>
              </w:rPr>
              <w:t>5.09</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hint="eastAsia" w:eastAsia="宋体"/>
                <w:b/>
                <w:bCs/>
                <w:color w:val="000000"/>
                <w:sz w:val="24"/>
              </w:rPr>
            </w:pPr>
            <w:r>
              <w:rPr>
                <w:rFonts w:hint="eastAsia" w:eastAsia="宋体"/>
                <w:b/>
                <w:bCs/>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sz w:val="24"/>
              </w:rPr>
              <w:t>1</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八江乡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208.78</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3302</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69.77</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68.71</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1.06</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hint="eastAsia"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sz w:val="24"/>
              </w:rPr>
              <w:t>2</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程村乡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80.60</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870</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28.52</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28.51</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0.01</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sz w:val="24"/>
              </w:rPr>
            </w:pPr>
            <w:r>
              <w:rPr>
                <w:rFonts w:ascii="Times New Roman" w:hAnsi="Times New Roman" w:eastAsia="宋体" w:cs="Times New Roman"/>
                <w:sz w:val="24"/>
              </w:rPr>
              <w:t>3</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丹洲镇</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287.19</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3797</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147.31</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147.21</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0.1</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sz w:val="24"/>
              </w:rPr>
              <w:t>4</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斗江镇</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326.52</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3063</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166.86</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166.18</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0.68</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sz w:val="24"/>
              </w:rPr>
              <w:t>5</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独峒乡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222.83</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1645</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65.1</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64.38</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0.72</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sz w:val="24"/>
              </w:rPr>
              <w:t>6</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富禄苗族乡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205.52</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2890</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71.93</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71.5</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0.43</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sz w:val="24"/>
              </w:rPr>
              <w:t>7</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高基瑶族乡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204.17</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3084</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126.77</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126.42</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0.35</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sz w:val="24"/>
              </w:rPr>
              <w:t>8</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古宜镇</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247.25</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1880</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99.33</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99.26</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0.07</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sz w:val="24"/>
              </w:rPr>
              <w:t>9</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和平乡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134.27</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3195</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78.76</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78.59</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0.17</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sz w:val="24"/>
              </w:rPr>
              <w:t>10</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老堡乡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207.75</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3305</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95.56</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95.43</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0.13</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sz w:val="24"/>
              </w:rPr>
              <w:t>11</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良口乡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207.82</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2133</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76.42</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76.16</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0.26</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sz w:val="24"/>
              </w:rPr>
              <w:t>12</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林溪乡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174.21</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2782</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66.89</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66.62</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0.27</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sz w:val="24"/>
              </w:rPr>
              <w:t>13</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梅林乡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99.25</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726</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31.4</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31.15</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0.25</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sz w:val="24"/>
              </w:rPr>
              <w:t>14</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同乐苗族乡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220.39</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2078</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64.05</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63.72</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0.33</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r>
        <w:tblPrEx>
          <w:tblCellMar>
            <w:top w:w="0" w:type="dxa"/>
            <w:left w:w="108" w:type="dxa"/>
            <w:bottom w:w="0" w:type="dxa"/>
            <w:right w:w="108" w:type="dxa"/>
          </w:tblCellMar>
        </w:tblPrEx>
        <w:trPr>
          <w:trHeight w:val="270" w:hRule="atLeast"/>
          <w:jc w:val="center"/>
        </w:trPr>
        <w:tc>
          <w:tcPr>
            <w:tcW w:w="5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napToGrid/>
              <w:spacing w:line="530" w:lineRule="exact"/>
              <w:jc w:val="center"/>
              <w:textAlignment w:val="center"/>
              <w:rPr>
                <w:rFonts w:ascii="Times New Roman" w:hAnsi="Times New Roman" w:eastAsia="宋体" w:cs="Times New Roman"/>
                <w:color w:val="000000"/>
                <w:kern w:val="0"/>
                <w:sz w:val="24"/>
                <w:lang w:bidi="ar"/>
              </w:rPr>
            </w:pPr>
            <w:r>
              <w:rPr>
                <w:rFonts w:ascii="Times New Roman" w:hAnsi="Times New Roman" w:eastAsia="宋体" w:cs="Times New Roman"/>
                <w:sz w:val="24"/>
              </w:rPr>
              <w:t>15</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洋溪乡</w:t>
            </w:r>
          </w:p>
        </w:tc>
        <w:tc>
          <w:tcPr>
            <w:tcW w:w="1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eastAsia="宋体" w:cs="Times New Roman"/>
                <w:sz w:val="24"/>
              </w:rPr>
              <w:t>144.35</w:t>
            </w:r>
          </w:p>
        </w:tc>
        <w:tc>
          <w:tcPr>
            <w:tcW w:w="14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1915</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56.7</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56.44</w:t>
            </w:r>
          </w:p>
        </w:tc>
        <w:tc>
          <w:tcPr>
            <w:tcW w:w="10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ascii="Times New Roman" w:hAnsi="Times New Roman" w:cs="Times New Roman"/>
                <w:sz w:val="24"/>
              </w:rPr>
              <w:t>0.26</w:t>
            </w:r>
          </w:p>
        </w:tc>
        <w:tc>
          <w:tcPr>
            <w:tcW w:w="1091" w:type="dxa"/>
            <w:tcBorders>
              <w:top w:val="single" w:color="000000" w:sz="4" w:space="0"/>
              <w:left w:val="single" w:color="000000" w:sz="4" w:space="0"/>
              <w:bottom w:val="single" w:color="000000" w:sz="4" w:space="0"/>
              <w:right w:val="single" w:color="000000" w:sz="4" w:space="0"/>
            </w:tcBorders>
            <w:noWrap/>
          </w:tcPr>
          <w:p>
            <w:pPr>
              <w:keepNext w:val="0"/>
              <w:keepLines w:val="0"/>
              <w:pageBreakBefore w:val="0"/>
              <w:kinsoku/>
              <w:wordWrap/>
              <w:overflowPunct/>
              <w:topLinePunct w:val="0"/>
              <w:bidi w:val="0"/>
              <w:snapToGrid/>
              <w:spacing w:line="530" w:lineRule="exact"/>
              <w:jc w:val="center"/>
              <w:rPr>
                <w:rFonts w:ascii="Times New Roman" w:hAnsi="Times New Roman" w:eastAsia="宋体" w:cs="Times New Roman"/>
                <w:color w:val="000000"/>
                <w:sz w:val="24"/>
              </w:rPr>
            </w:pPr>
            <w:r>
              <w:rPr>
                <w:rFonts w:hint="eastAsia" w:eastAsia="宋体"/>
                <w:color w:val="000000"/>
                <w:sz w:val="24"/>
              </w:rPr>
              <w:t>0.00</w:t>
            </w:r>
          </w:p>
        </w:tc>
      </w:tr>
    </w:tbl>
    <w:p>
      <w:pPr>
        <w:pStyle w:val="6"/>
        <w:keepNext w:val="0"/>
        <w:keepLines w:val="0"/>
        <w:pageBreakBefore w:val="0"/>
        <w:widowControl/>
        <w:shd w:val="clear" w:color="auto" w:fill="FFFFFF"/>
        <w:kinsoku/>
        <w:wordWrap/>
        <w:overflowPunct/>
        <w:topLinePunct w:val="0"/>
        <w:bidi w:val="0"/>
        <w:snapToGrid/>
        <w:spacing w:beforeAutospacing="0" w:afterAutospacing="0" w:line="53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中华人民共和国水土保持法》，在禁止开垦陡坡地范围内严禁新开垦种植农作物，禁止全垦整地（“全垦整地”也常被称为“全面整地”，指的是对准备用于种植的土地进行全面的、无差别的翻垦和整理。简单来说，就是把一整块地从头到尾、从上到下全部翻一遍，使其达到适合播种或栽植的状态。全垦整地是一种效果彻底但破坏性也较强的土地准备方式，适用于平坦地区的大规模农业和林业生产，但在坡地上使用时必须非常谨慎，通常不被推荐，而应采用带状或块状整地等水土保持措施）。在禁止开垦陡坡地范围内应当优先植树造林，应当采取沿等高线带状局部整地方式和有利于水土保持的拦水、蓄水、保水、排水等措施。</w:t>
      </w:r>
    </w:p>
    <w:p>
      <w:pPr>
        <w:keepNext w:val="0"/>
        <w:keepLines w:val="0"/>
        <w:pageBreakBefore w:val="0"/>
        <w:kinsoku/>
        <w:wordWrap/>
        <w:overflowPunct/>
        <w:topLinePunct w:val="0"/>
        <w:bidi w:val="0"/>
        <w:snapToGrid/>
        <w:spacing w:line="53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在划定的禁止开垦陡坡地范围内开垦种植农作物的，按照《中华人民共和国水土保持法》第四十九条予以处罚。</w:t>
      </w:r>
    </w:p>
    <w:p>
      <w:pPr>
        <w:pStyle w:val="2"/>
        <w:keepNext w:val="0"/>
        <w:keepLines w:val="0"/>
        <w:pageBreakBefore w:val="0"/>
        <w:kinsoku/>
        <w:wordWrap/>
        <w:overflowPunct/>
        <w:topLinePunct w:val="0"/>
        <w:bidi w:val="0"/>
        <w:snapToGrid/>
        <w:spacing w:line="530" w:lineRule="exact"/>
        <w:jc w:val="right"/>
        <w:rPr>
          <w:rFonts w:ascii="Times New Roman" w:hAnsi="Times New Roman"/>
          <w:color w:val="auto"/>
          <w:sz w:val="32"/>
          <w:szCs w:val="32"/>
          <w:shd w:val="clear" w:color="auto" w:fill="FFFFFF"/>
        </w:rPr>
      </w:pPr>
    </w:p>
    <w:p>
      <w:pPr>
        <w:pStyle w:val="2"/>
        <w:keepNext w:val="0"/>
        <w:keepLines w:val="0"/>
        <w:pageBreakBefore w:val="0"/>
        <w:kinsoku/>
        <w:wordWrap/>
        <w:overflowPunct/>
        <w:topLinePunct w:val="0"/>
        <w:bidi w:val="0"/>
        <w:snapToGrid/>
        <w:spacing w:line="530" w:lineRule="exact"/>
        <w:jc w:val="center"/>
        <w:rPr>
          <w:rFonts w:ascii="Times New Roman" w:hAnsi="Times New Roman"/>
          <w:color w:val="auto"/>
          <w:sz w:val="32"/>
          <w:szCs w:val="32"/>
          <w:shd w:val="clear" w:color="auto" w:fill="FFFFFF"/>
        </w:rPr>
      </w:pPr>
      <w:r>
        <w:rPr>
          <w:rFonts w:hint="eastAsia" w:ascii="Times New Roman" w:hAnsi="Times New Roman"/>
          <w:color w:val="auto"/>
          <w:sz w:val="32"/>
          <w:szCs w:val="32"/>
          <w:shd w:val="clear" w:color="auto" w:fill="FFFFFF"/>
          <w:lang w:val="en-US" w:eastAsia="zh-CN"/>
        </w:rPr>
        <w:t xml:space="preserve">                        </w:t>
      </w:r>
      <w:r>
        <w:rPr>
          <w:rFonts w:ascii="Times New Roman" w:hAnsi="Times New Roman"/>
          <w:color w:val="auto"/>
          <w:sz w:val="32"/>
          <w:szCs w:val="32"/>
          <w:shd w:val="clear" w:color="auto" w:fill="FFFFFF"/>
        </w:rPr>
        <w:t>三江侗族自治县水利局</w:t>
      </w:r>
    </w:p>
    <w:p>
      <w:pPr>
        <w:pStyle w:val="2"/>
        <w:keepNext w:val="0"/>
        <w:keepLines w:val="0"/>
        <w:pageBreakBefore w:val="0"/>
        <w:kinsoku/>
        <w:wordWrap/>
        <w:overflowPunct/>
        <w:topLinePunct w:val="0"/>
        <w:bidi w:val="0"/>
        <w:snapToGrid/>
        <w:spacing w:line="530" w:lineRule="exact"/>
        <w:jc w:val="center"/>
        <w:rPr>
          <w:rFonts w:ascii="Times New Roman" w:hAnsi="Times New Roman" w:eastAsia="仿宋_GB2312" w:cs="Times New Roman"/>
          <w:sz w:val="28"/>
          <w:szCs w:val="28"/>
          <w:shd w:val="clear" w:color="auto" w:fill="FFFFFF"/>
        </w:rPr>
      </w:pPr>
      <w:r>
        <w:rPr>
          <w:rFonts w:hint="eastAsia" w:ascii="Times New Roman" w:hAnsi="Times New Roman"/>
          <w:color w:val="auto"/>
          <w:sz w:val="32"/>
          <w:szCs w:val="32"/>
          <w:shd w:val="clear" w:color="auto" w:fill="FFFFFF"/>
          <w:lang w:val="en-US" w:eastAsia="zh-CN"/>
        </w:rPr>
        <w:t xml:space="preserve">                         </w:t>
      </w:r>
      <w:r>
        <w:rPr>
          <w:rFonts w:ascii="Times New Roman" w:hAnsi="Times New Roman"/>
          <w:color w:val="auto"/>
          <w:sz w:val="32"/>
          <w:szCs w:val="32"/>
          <w:shd w:val="clear" w:color="auto" w:fill="FFFFFF"/>
        </w:rPr>
        <w:t>2025年</w:t>
      </w:r>
      <w:r>
        <w:rPr>
          <w:rFonts w:hint="eastAsia" w:ascii="Times New Roman" w:hAnsi="Times New Roman"/>
          <w:color w:val="auto"/>
          <w:sz w:val="32"/>
          <w:szCs w:val="32"/>
          <w:shd w:val="clear" w:color="auto" w:fill="FFFFFF"/>
        </w:rPr>
        <w:t>11</w:t>
      </w:r>
      <w:r>
        <w:rPr>
          <w:rFonts w:ascii="Times New Roman" w:hAnsi="Times New Roman"/>
          <w:color w:val="auto"/>
          <w:sz w:val="32"/>
          <w:szCs w:val="32"/>
          <w:shd w:val="clear" w:color="auto" w:fill="FFFFFF"/>
        </w:rPr>
        <w:t>月</w:t>
      </w:r>
      <w:r>
        <w:rPr>
          <w:rFonts w:hint="eastAsia" w:ascii="Times New Roman" w:hAnsi="Times New Roman"/>
          <w:color w:val="auto"/>
          <w:sz w:val="32"/>
          <w:szCs w:val="32"/>
          <w:shd w:val="clear" w:color="auto" w:fill="FFFFFF"/>
          <w:lang w:val="en-US" w:eastAsia="zh-CN"/>
        </w:rPr>
        <w:t>13</w:t>
      </w:r>
      <w:bookmarkStart w:id="0" w:name="_GoBack"/>
      <w:bookmarkEnd w:id="0"/>
      <w:r>
        <w:rPr>
          <w:rFonts w:ascii="Times New Roman" w:hAnsi="Times New Roman"/>
          <w:color w:val="auto"/>
          <w:sz w:val="32"/>
          <w:szCs w:val="32"/>
          <w:shd w:val="clear" w:color="auto" w:fill="FFFFFF"/>
        </w:rPr>
        <w:t>日</w:t>
      </w:r>
    </w:p>
    <w:sectPr>
      <w:footerReference r:id="rId3" w:type="default"/>
      <w:pgSz w:w="11906" w:h="16838"/>
      <w:pgMar w:top="1587" w:right="1474"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D4"/>
    <w:rsid w:val="000725B2"/>
    <w:rsid w:val="000C00EE"/>
    <w:rsid w:val="000D771F"/>
    <w:rsid w:val="00171925"/>
    <w:rsid w:val="00186396"/>
    <w:rsid w:val="00213812"/>
    <w:rsid w:val="00324787"/>
    <w:rsid w:val="00382241"/>
    <w:rsid w:val="00414BD4"/>
    <w:rsid w:val="004B1415"/>
    <w:rsid w:val="004F5823"/>
    <w:rsid w:val="00501A9E"/>
    <w:rsid w:val="00524628"/>
    <w:rsid w:val="00533E88"/>
    <w:rsid w:val="006441E8"/>
    <w:rsid w:val="00652F7D"/>
    <w:rsid w:val="0097056E"/>
    <w:rsid w:val="009E3033"/>
    <w:rsid w:val="00A37915"/>
    <w:rsid w:val="00A81E0F"/>
    <w:rsid w:val="00B365E2"/>
    <w:rsid w:val="00CF2458"/>
    <w:rsid w:val="00E52C16"/>
    <w:rsid w:val="0B3345F6"/>
    <w:rsid w:val="11B5219D"/>
    <w:rsid w:val="21274C73"/>
    <w:rsid w:val="3EB7E1F7"/>
    <w:rsid w:val="49F9606C"/>
    <w:rsid w:val="4B06317E"/>
    <w:rsid w:val="56444130"/>
    <w:rsid w:val="5A2872A2"/>
    <w:rsid w:val="60EA5801"/>
    <w:rsid w:val="71CD1549"/>
    <w:rsid w:val="741C7BB6"/>
    <w:rsid w:val="74EE283F"/>
    <w:rsid w:val="AEE97AD9"/>
    <w:rsid w:val="FEFBF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semiHidden/>
    <w:qFormat/>
    <w:uiPriority w:val="0"/>
    <w:pPr>
      <w:autoSpaceDE w:val="0"/>
      <w:autoSpaceDN w:val="0"/>
      <w:adjustRightInd w:val="0"/>
      <w:jc w:val="left"/>
    </w:pPr>
    <w:rPr>
      <w:rFonts w:ascii="仿宋_GB2312" w:hAnsi="宋体" w:eastAsia="仿宋_GB2312" w:cs="Times New Roman"/>
      <w:color w:val="000000"/>
      <w:kern w:val="0"/>
      <w:sz w:val="24"/>
    </w:rPr>
  </w:style>
  <w:style w:type="paragraph" w:styleId="3">
    <w:name w:val="Body Text Indent"/>
    <w:basedOn w:val="1"/>
    <w:qFormat/>
    <w:uiPriority w:val="0"/>
    <w:pPr>
      <w:spacing w:after="120"/>
      <w:ind w:left="420" w:left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885</Words>
  <Characters>1263</Characters>
  <Lines>10</Lines>
  <Paragraphs>2</Paragraphs>
  <TotalTime>12</TotalTime>
  <ScaleCrop>false</ScaleCrop>
  <LinksUpToDate>false</LinksUpToDate>
  <CharactersWithSpaces>1264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2025-10-31T00:08:00Z</dcterms:created>
  <dc:creator>Lcy</dc:creator>
  <cp:lastModifiedBy>天诺海盗</cp:lastModifiedBy>
  <cp:lastPrinted>2025-11-13T19:11:00Z</cp:lastPrinted>
  <dcterms:modified xsi:type="dcterms:W3CDTF">2025-11-19T10:18:54Z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C3733AFBD2D4472ABD2281C064BBBF94</vt:lpwstr>
  </property>
  <property fmtid="{D5CDD505-2E9C-101B-9397-08002B2CF9AE}" pid="4" name="KSOTemplateDocerSaveRecord">
    <vt:lpwstr>eyJoZGlkIjoiMTI4N2M4ZGUzOGY3OGE5NzkyOGU1OGNkNTc3YjdjNWMiLCJ1c2VySWQiOiI0NDU4NTE5MTEifQ==</vt:lpwstr>
  </property>
</Properties>
</file>