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560" w:lineRule="exac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内部资料 请注意保管</w:t>
      </w:r>
    </w:p>
    <w:p>
      <w:pPr>
        <w:tabs>
          <w:tab w:val="left" w:pos="1260"/>
        </w:tabs>
        <w:spacing w:line="480" w:lineRule="auto"/>
        <w:jc w:val="both"/>
        <w:rPr>
          <w:rFonts w:hint="eastAsia" w:ascii="仿宋" w:hAnsi="仿宋" w:eastAsia="仿宋" w:cs="仿宋"/>
          <w:b/>
          <w:color w:val="FF0000"/>
          <w:sz w:val="84"/>
          <w:szCs w:val="84"/>
        </w:rPr>
      </w:pP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  <w:r>
        <w:rPr>
          <w:rFonts w:hint="eastAsia" w:ascii="仿宋" w:hAnsi="仿宋" w:eastAsia="仿宋" w:cs="仿宋"/>
          <w:b/>
          <w:color w:val="FF0000"/>
          <w:sz w:val="84"/>
          <w:szCs w:val="84"/>
        </w:rPr>
        <w:t>统</w:t>
      </w: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  <w:r>
        <w:rPr>
          <w:rFonts w:hint="eastAsia" w:ascii="仿宋" w:hAnsi="仿宋" w:eastAsia="仿宋" w:cs="仿宋"/>
          <w:b/>
          <w:color w:val="FF0000"/>
          <w:sz w:val="84"/>
          <w:szCs w:val="84"/>
        </w:rPr>
        <w:t>计</w:t>
      </w: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  <w:r>
        <w:rPr>
          <w:rFonts w:hint="eastAsia" w:ascii="仿宋" w:hAnsi="仿宋" w:eastAsia="仿宋" w:cs="仿宋"/>
          <w:b/>
          <w:color w:val="FF0000"/>
          <w:sz w:val="84"/>
          <w:szCs w:val="84"/>
        </w:rPr>
        <w:t>专</w:t>
      </w: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b/>
          <w:color w:val="FF0000"/>
          <w:sz w:val="84"/>
          <w:szCs w:val="84"/>
        </w:rPr>
      </w:pPr>
      <w:r>
        <w:rPr>
          <w:rFonts w:hint="eastAsia" w:ascii="仿宋" w:hAnsi="仿宋" w:eastAsia="仿宋" w:cs="仿宋"/>
          <w:b/>
          <w:color w:val="FF0000"/>
          <w:sz w:val="84"/>
          <w:szCs w:val="84"/>
        </w:rPr>
        <w:t>报</w:t>
      </w:r>
    </w:p>
    <w:p>
      <w:pPr>
        <w:tabs>
          <w:tab w:val="left" w:pos="1260"/>
        </w:tabs>
        <w:spacing w:line="480" w:lineRule="auto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tabs>
          <w:tab w:val="left" w:pos="1260"/>
        </w:tabs>
        <w:spacing w:line="480" w:lineRule="auto"/>
        <w:jc w:val="center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第一期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center"/>
        <w:rPr>
          <w:rFonts w:hint="eastAsia"/>
          <w:color w:val="333333"/>
          <w:sz w:val="30"/>
          <w:szCs w:val="30"/>
          <w:shd w:val="clear" w:fill="FFFFFF"/>
          <w:lang w:eastAsia="zh-CN"/>
        </w:rPr>
      </w:pPr>
      <w:sdt>
        <w:sdtPr>
          <w:rPr>
            <w:rFonts w:hint="eastAsia" w:ascii="仿宋" w:hAnsi="仿宋" w:eastAsia="仿宋" w:cs="仿宋"/>
            <w:kern w:val="2"/>
            <w:sz w:val="21"/>
            <w:szCs w:val="32"/>
            <w:lang w:val="en-US" w:eastAsia="zh-CN" w:bidi="ar-SA"/>
          </w:rPr>
          <w:id w:val="147482196"/>
          <w:showingPlcHdr/>
          <w15:color w:val="DBDBDB"/>
          <w:docPartObj>
            <w:docPartGallery w:val="Table of Contents"/>
            <w:docPartUnique/>
          </w:docPartObj>
        </w:sdtPr>
        <w:sdtEndPr>
          <w:rPr>
            <w:rFonts w:hint="eastAsia" w:ascii="仿宋" w:hAnsi="仿宋" w:eastAsia="仿宋" w:cs="仿宋"/>
            <w:kern w:val="2"/>
            <w:sz w:val="21"/>
            <w:szCs w:val="32"/>
            <w:lang w:val="en-US" w:eastAsia="zh-CN" w:bidi="ar-SA"/>
          </w:rPr>
        </w:sdtEndPr>
        <w:sdtContent/>
      </w:sdt>
    </w:p>
    <w:p>
      <w:pPr>
        <w:pStyle w:val="5"/>
        <w:tabs>
          <w:tab w:val="right" w:leader="dot" w:pos="8676"/>
        </w:tabs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TOC \t "正文" \c</w:instrText>
      </w:r>
      <w:r>
        <w:rPr>
          <w:rFonts w:hint="eastAsia"/>
          <w:lang w:eastAsia="zh-CN"/>
        </w:rPr>
        <w:fldChar w:fldCharType="separate"/>
      </w:r>
    </w:p>
    <w:p>
      <w:pPr>
        <w:outlineLvl w:val="0"/>
        <w:rPr>
          <w:rFonts w:hint="eastAsia"/>
          <w:lang w:eastAsia="zh-CN"/>
        </w:rPr>
        <w:sectPr>
          <w:pgSz w:w="11850" w:h="16783"/>
          <w:pgMar w:top="1440" w:right="1587" w:bottom="1440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lang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</w:pPr>
      <w:r>
        <w:rPr>
          <w:rFonts w:hint="eastAsia"/>
          <w:color w:val="333333"/>
          <w:sz w:val="30"/>
          <w:szCs w:val="30"/>
          <w:shd w:val="clear" w:fill="FFFFFF"/>
          <w:lang w:eastAsia="zh-CN"/>
        </w:rPr>
        <w:t>三江县</w:t>
      </w:r>
      <w:r>
        <w:rPr>
          <w:color w:val="333333"/>
          <w:sz w:val="30"/>
          <w:szCs w:val="30"/>
          <w:shd w:val="clear" w:fill="FFFFFF"/>
        </w:rPr>
        <w:t>2020年经济运行分析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</w:rPr>
        <w:t>2020年，面对突如其来的新冠肺炎疫情和错综复杂的经济发展形势，</w:t>
      </w: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eastAsia="zh-CN"/>
        </w:rPr>
        <w:t>三江县</w:t>
      </w: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</w:rPr>
        <w:t>深入贯彻中央、自治区各项决策部署，科学统筹推进疫情防控和经济社会发展，扎实做好“六稳”工作、全面落实“六保”任务，经济快速企稳回升，</w:t>
      </w:r>
      <w:r>
        <w:rPr>
          <w:rFonts w:hint="eastAsia" w:ascii="仿宋" w:hAnsi="仿宋" w:eastAsia="仿宋" w:cs="仿宋"/>
          <w:sz w:val="28"/>
          <w:szCs w:val="28"/>
          <w:shd w:val="clear" w:fill="FFFFFF"/>
        </w:rPr>
        <w:t>呈持续稳步恢复态势</w:t>
      </w: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2020年全县全年实现地区生产总值（GDP）78.44亿元，同比增长5.9%。分产业看，第一产业增加值20.54亿元，同比增长1.1%；第二产业增加值15.09亿元，同比增长16.4%；第三产业增加值42.81亿元，同比增长5.0%。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农业低速增长。全县农林牧渔业总产值实现34.31亿元，同比增长1.1%。一是种植业生产保持稳定，1-12月农业总产23.38亿元，占农林牧渔业比重68.1%，同比增长5.0%。1-12月农业产值比较单一，主要以茶叶为主，茶叶产值16.76亿元，同比增长4.7%，其次为粮食作物，产值为2.25亿元，同比增长2.6%。二是林业生产下降，1-12月林业总产值3.94亿元，占农林牧渔业比重11.5%，同比下降6.7%。 三是牧业生产形势严峻，1-12月牧业总产值4.7亿元，占农林牧渔业比重13.7%，同比下降10%，主要仍受非洲猪瘟和新冠疫情影响，回升的空间有限。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Toc22116"/>
      <w:r>
        <w:rPr>
          <w:rFonts w:hint="eastAsia" w:ascii="仿宋" w:hAnsi="仿宋" w:eastAsia="仿宋" w:cs="仿宋"/>
          <w:spacing w:val="0"/>
          <w:kern w:val="0"/>
          <w:sz w:val="28"/>
          <w:szCs w:val="28"/>
          <w:shd w:val="clear" w:fill="FFFFFF"/>
          <w:lang w:val="en-US" w:eastAsia="zh-CN" w:bidi="ar"/>
        </w:rPr>
        <w:t>二、工业产值持续高速增长。全县规模以上工业增加值同比增长35.9%，规模以上工业企业总产值同比增长43.5%。其中制造业产值同比增长65.4%。三家建材生产公司是新增入库企业，订单增多，同比累计增长36.2%。茶叶加工企业恢复生产，茶叶加工行业产值高速增长，同比增长131.4%，拉动全县工业产值16.4个百分点。电力、热力生产和供应业企业产值同比增长5.5%。</w:t>
      </w:r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三、建筑业生产提升显著，成为拉动二产发展的另一主力军。1-12月建筑业产值7.87亿元，同比增长42.9%。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四、贸易业发展形势逐步回暖。2020年全县限额以上住宿业累计营业额0.59亿元，同比下降16.8%，较前三季度提高11.7个百分点；限上餐饮业累计营业额0.39亿元，同比增长13.6%，转负为正，较前三季度提高44.3个百分点；限上零售业销售额2.22亿元，同比增长2.6%，较前三季度下降3.6个百分；1-12月限额以上批发业销售额0.74亿元，同比增长447.9%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五、其他营利性服务业发展稳中有进。1-11月全县营利性服务业增加值4.45亿元，同比增长19.8%，增速较1-8月提高14.6个百分点。全县在库规模以上服务业企业新增月度入库2家，总共7家，1-11月有2家实现营业收入实现增长态势，3家企业呈下降趋势。分行业看，文化、体育和娱乐业4家，同比下降6%；租赁和商务服务业1家，同比增长21.1%；居民服务、修理和其他服务业2家无同期数属于纯增长型企业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六、非营利性服务业增速回升。前三季度全县非营利性服务业增加值14.66亿元，同比增长3.8%，较上半年提高3.4个百分点。数据显示，非营利性服务业占第三产业比重43.8%，占GDP比重22.5%，占比较大易拉动行业增长。前三季度房地产业、公共管理、文化、教育、卫生五大行业劳动工资统计结果呈二增三减趋势。前三季度教育业基本摆脱了疫情影响，劳动工资同比增长11.3%；公共管理、社会保障和社会组织工资总额同比增长27.2%；受疫情影响，我县文化、体育、娱乐业第三季度同比下降11.8%；我县房地产业劳动工资统计报表数据同比下降15.5%；卫生和社会工作第三季度劳动工资同比下降1.1%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七、固定资产投资总体平稳。1-12月固定资产完成投资同比增长13.3%，高于全市平均水平14.3个百分点。其中项目投资同比下降8.3%，房地产投资同比增长325.1%。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leftChars="200" w:right="0" w:rightChars="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八、存在薄弱环节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（一）受资质等级、规模等因素限制，我县建筑企业发展不平衡，市场竞争力不强，承建高标准项目的能力有限，制约建筑业企业的后续发展，发展后劲不足。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(二)投资动能、后劲不足。500-5000万元项目完成投资同比下降8.3%，持续低迷，主要是在库500-5000万投资项目较去年同期减少，且较多项目已接近竣工。主要拉动是续建5000万元以上投资项目及本年新增的房地产项目，新增5000万元以上项目少，支撑投资增长的后劲不足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default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(</w:t>
      </w: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default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)</w:t>
      </w: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工业薄弱，抗风险能力低。规模以上工业仅有17家，规模以上工业总值不足9个亿，工业拉动经济增长的能力明显不足。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default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九、为做好2021年经济，根据2021年“起步就要提速、开局就要争先”的要求建议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（一）合理利用相关政策、资金等扶持我县建筑业企业发展壮大，提高建筑业企业资质等级等，增强我县建筑业的综合实力。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（二）统筹协调，推进重点项目建设。一是完善重大项目库建设，并积极统筹推进重大项目，加快项目建设步伐。二是加大政策性融资力度，强力推进重大项目建设。三是有项目的单位（企业）要加强与发改局、统计局的沟通，明确入库要求，及时做好项目入库和项目推进工作，保证项目依法统计、不重不漏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（三）要加强对各乡镇统计助理和统计从业人员的管理。目前现各乡镇助理、企业统计员普遍存在变换频繁或者身兼数职，不能及时、准确上报报表。为确保统计数据准确性、及时性、完整性，对各乡镇建议要保证统计助理的工作时间，有充裕的时间上报统计报表，企业方面建议企业聘请专职会计或加强兼职会计熟悉业务能力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>（四）主管部门要服务好企业，做好新企业入库（特别是工业新企业入库）和在库企业的服务和监测工作。一是加强新企业入库工作，确保经济增长有新活力。二是增强精准服务力度，特别是要服务好重点的负增长的企业，全力帮扶企业尽快恢复生产。二是评估在库企业的可持续发展能力，加大对于影响全县经济的重点企业的支持，形成引领带动效应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（攥稿人：杨燕玲）</w:t>
      </w:r>
    </w:p>
    <w:p>
      <w:pPr>
        <w:jc w:val="center"/>
      </w:pPr>
      <w:bookmarkStart w:id="1" w:name="_Toc27645"/>
      <w:r>
        <w:object>
          <v:shape id="_x0000_i1025" o:spt="75" alt="" type="#_x0000_t75" style="height:485.65pt;width:431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  <w:bookmarkEnd w:id="1"/>
      <w:bookmarkStart w:id="2" w:name="_GoBack"/>
      <w:bookmarkEnd w:id="2"/>
    </w:p>
    <w:sectPr>
      <w:footerReference r:id="rId3" w:type="default"/>
      <w:pgSz w:w="11850" w:h="16783"/>
      <w:pgMar w:top="1440" w:right="1587" w:bottom="1440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FF03B"/>
    <w:multiLevelType w:val="singleLevel"/>
    <w:tmpl w:val="EC1FF0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96191"/>
    <w:rsid w:val="006678E1"/>
    <w:rsid w:val="00AB041D"/>
    <w:rsid w:val="04251877"/>
    <w:rsid w:val="05887433"/>
    <w:rsid w:val="09E91890"/>
    <w:rsid w:val="0DC40C4C"/>
    <w:rsid w:val="0E176891"/>
    <w:rsid w:val="0E3458E3"/>
    <w:rsid w:val="107F4380"/>
    <w:rsid w:val="14947978"/>
    <w:rsid w:val="15B472B3"/>
    <w:rsid w:val="19943F1C"/>
    <w:rsid w:val="1D5A25C9"/>
    <w:rsid w:val="1E5C113B"/>
    <w:rsid w:val="2222335B"/>
    <w:rsid w:val="2C0022F1"/>
    <w:rsid w:val="2E901BE6"/>
    <w:rsid w:val="2FA000FC"/>
    <w:rsid w:val="320F04E6"/>
    <w:rsid w:val="32F46608"/>
    <w:rsid w:val="33517625"/>
    <w:rsid w:val="3368597F"/>
    <w:rsid w:val="33BA6D5F"/>
    <w:rsid w:val="35426BAC"/>
    <w:rsid w:val="37446D32"/>
    <w:rsid w:val="380038D8"/>
    <w:rsid w:val="38F333F9"/>
    <w:rsid w:val="39B27A08"/>
    <w:rsid w:val="3AE6110C"/>
    <w:rsid w:val="3D8919F4"/>
    <w:rsid w:val="3E9A53E0"/>
    <w:rsid w:val="428265C9"/>
    <w:rsid w:val="47744A1C"/>
    <w:rsid w:val="47DD6253"/>
    <w:rsid w:val="48A51201"/>
    <w:rsid w:val="4A164EAC"/>
    <w:rsid w:val="4ABC7FBF"/>
    <w:rsid w:val="4B1C5B53"/>
    <w:rsid w:val="4B3E0ED8"/>
    <w:rsid w:val="4B7A1C65"/>
    <w:rsid w:val="4C3A5CD4"/>
    <w:rsid w:val="4CB449AE"/>
    <w:rsid w:val="4D137EF5"/>
    <w:rsid w:val="4D933640"/>
    <w:rsid w:val="511C0218"/>
    <w:rsid w:val="516C4F40"/>
    <w:rsid w:val="52377B41"/>
    <w:rsid w:val="54325399"/>
    <w:rsid w:val="56433752"/>
    <w:rsid w:val="56A8055F"/>
    <w:rsid w:val="5759392F"/>
    <w:rsid w:val="5922571A"/>
    <w:rsid w:val="59A84A91"/>
    <w:rsid w:val="59A96191"/>
    <w:rsid w:val="59B02499"/>
    <w:rsid w:val="5A0510F6"/>
    <w:rsid w:val="5C3147BE"/>
    <w:rsid w:val="5D442C79"/>
    <w:rsid w:val="5DE124DA"/>
    <w:rsid w:val="5E3F13DD"/>
    <w:rsid w:val="60542255"/>
    <w:rsid w:val="61496546"/>
    <w:rsid w:val="63DE02C5"/>
    <w:rsid w:val="64875D0B"/>
    <w:rsid w:val="657D7C06"/>
    <w:rsid w:val="66C34FD8"/>
    <w:rsid w:val="673808A8"/>
    <w:rsid w:val="6856239C"/>
    <w:rsid w:val="68C907D9"/>
    <w:rsid w:val="69060B6B"/>
    <w:rsid w:val="699D0F64"/>
    <w:rsid w:val="6A2147E1"/>
    <w:rsid w:val="6D0C5CBF"/>
    <w:rsid w:val="6D676B3A"/>
    <w:rsid w:val="6DC37313"/>
    <w:rsid w:val="6F381156"/>
    <w:rsid w:val="715F1DFE"/>
    <w:rsid w:val="729631B4"/>
    <w:rsid w:val="73216FF5"/>
    <w:rsid w:val="73E02D00"/>
    <w:rsid w:val="75EB285D"/>
    <w:rsid w:val="761A7A1C"/>
    <w:rsid w:val="7BF7301C"/>
    <w:rsid w:val="7C0436AD"/>
    <w:rsid w:val="7F3658E9"/>
    <w:rsid w:val="7F41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2021-02-16T07:46:00Z</dcterms:created>
  <dc:creator>Administrator</dc:creator>
  <cp:lastModifiedBy>lenovo</cp:lastModifiedBy>
  <cp:lastPrinted>2021-02-25T09:53:00Z</cp:lastPrinted>
  <dcterms:modified xsi:type="dcterms:W3CDTF">2021-04-22T07:47:13Z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5254DE09BB774607897CEF9614C76276</vt:lpwstr>
  </property>
</Properties>
</file>