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spacing w:line="560" w:lineRule="exac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内部资料 请注意保管</w:t>
      </w:r>
    </w:p>
    <w:p>
      <w:pPr>
        <w:tabs>
          <w:tab w:val="left" w:pos="1260"/>
        </w:tabs>
        <w:spacing w:line="480" w:lineRule="auto"/>
        <w:jc w:val="both"/>
        <w:rPr>
          <w:rFonts w:hint="eastAsia" w:ascii="仿宋" w:hAnsi="仿宋" w:eastAsia="仿宋" w:cs="仿宋"/>
          <w:b/>
          <w:color w:val="FF0000"/>
          <w:sz w:val="84"/>
          <w:szCs w:val="84"/>
        </w:rPr>
      </w:pP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b/>
          <w:color w:val="FF0000"/>
          <w:sz w:val="84"/>
          <w:szCs w:val="84"/>
        </w:rPr>
      </w:pP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b/>
          <w:color w:val="FF0000"/>
          <w:sz w:val="84"/>
          <w:szCs w:val="84"/>
        </w:rPr>
      </w:pPr>
      <w:r>
        <w:rPr>
          <w:rFonts w:hint="eastAsia" w:ascii="仿宋" w:hAnsi="仿宋" w:eastAsia="仿宋" w:cs="仿宋"/>
          <w:b/>
          <w:color w:val="FF0000"/>
          <w:sz w:val="84"/>
          <w:szCs w:val="84"/>
        </w:rPr>
        <w:t>统</w:t>
      </w: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b/>
          <w:color w:val="FF0000"/>
          <w:sz w:val="84"/>
          <w:szCs w:val="84"/>
        </w:rPr>
      </w:pPr>
      <w:r>
        <w:rPr>
          <w:rFonts w:hint="eastAsia" w:ascii="仿宋" w:hAnsi="仿宋" w:eastAsia="仿宋" w:cs="仿宋"/>
          <w:b/>
          <w:color w:val="FF0000"/>
          <w:sz w:val="84"/>
          <w:szCs w:val="84"/>
        </w:rPr>
        <w:t>计</w:t>
      </w: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b/>
          <w:color w:val="FF0000"/>
          <w:sz w:val="84"/>
          <w:szCs w:val="84"/>
        </w:rPr>
      </w:pPr>
      <w:r>
        <w:rPr>
          <w:rFonts w:hint="eastAsia" w:ascii="仿宋" w:hAnsi="仿宋" w:eastAsia="仿宋" w:cs="仿宋"/>
          <w:b/>
          <w:color w:val="FF0000"/>
          <w:sz w:val="84"/>
          <w:szCs w:val="84"/>
        </w:rPr>
        <w:t>专</w:t>
      </w: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b/>
          <w:color w:val="FF0000"/>
          <w:sz w:val="84"/>
          <w:szCs w:val="84"/>
        </w:rPr>
      </w:pPr>
      <w:r>
        <w:rPr>
          <w:rFonts w:hint="eastAsia" w:ascii="仿宋" w:hAnsi="仿宋" w:eastAsia="仿宋" w:cs="仿宋"/>
          <w:b/>
          <w:color w:val="FF0000"/>
          <w:sz w:val="84"/>
          <w:szCs w:val="84"/>
        </w:rPr>
        <w:t>报</w:t>
      </w: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tabs>
          <w:tab w:val="left" w:pos="1260"/>
        </w:tabs>
        <w:spacing w:line="480" w:lineRule="auto"/>
        <w:jc w:val="center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</w:rPr>
        <w:t>202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第一期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center"/>
        <w:rPr>
          <w:rFonts w:hint="eastAsia"/>
          <w:color w:val="333333"/>
          <w:sz w:val="30"/>
          <w:szCs w:val="30"/>
          <w:shd w:val="clear" w:fill="FFFFFF"/>
          <w:lang w:eastAsia="zh-CN"/>
        </w:rPr>
      </w:pPr>
      <w:sdt>
        <w:sdtPr>
          <w:rPr>
            <w:rFonts w:hint="eastAsia" w:ascii="仿宋" w:hAnsi="仿宋" w:eastAsia="仿宋" w:cs="仿宋"/>
            <w:kern w:val="2"/>
            <w:sz w:val="21"/>
            <w:szCs w:val="32"/>
            <w:lang w:val="en-US" w:eastAsia="zh-CN" w:bidi="ar-SA"/>
          </w:rPr>
          <w:id w:val="147482196"/>
          <w:showingPlcHdr/>
          <w15:color w:val="DBDBDB"/>
          <w:docPartObj>
            <w:docPartGallery w:val="Table of Contents"/>
            <w:docPartUnique/>
          </w:docPartObj>
        </w:sdtPr>
        <w:sdtEndPr>
          <w:rPr>
            <w:rFonts w:hint="eastAsia" w:ascii="仿宋" w:hAnsi="仿宋" w:eastAsia="仿宋" w:cs="仿宋"/>
            <w:kern w:val="2"/>
            <w:sz w:val="21"/>
            <w:szCs w:val="32"/>
            <w:lang w:val="en-US" w:eastAsia="zh-CN" w:bidi="ar-SA"/>
          </w:rPr>
        </w:sdtEndPr>
        <w:sdtContent/>
      </w:sdt>
    </w:p>
    <w:p>
      <w:pPr>
        <w:pStyle w:val="5"/>
        <w:tabs>
          <w:tab w:val="right" w:leader="dot" w:pos="8676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TOC \t "正文" \c</w:instrText>
      </w:r>
      <w:r>
        <w:rPr>
          <w:rFonts w:hint="eastAsia"/>
          <w:lang w:eastAsia="zh-CN"/>
        </w:rPr>
        <w:fldChar w:fldCharType="separate"/>
      </w:r>
    </w:p>
    <w:p>
      <w:pPr>
        <w:outlineLvl w:val="0"/>
        <w:rPr>
          <w:rFonts w:hint="eastAsia"/>
          <w:lang w:eastAsia="zh-CN"/>
        </w:rPr>
        <w:sectPr>
          <w:pgSz w:w="11850" w:h="16783"/>
          <w:pgMar w:top="1440" w:right="1587" w:bottom="1440" w:left="158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/>
          <w:lang w:eastAsia="zh-CN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spacing w:val="0"/>
          <w:sz w:val="24"/>
          <w:szCs w:val="24"/>
          <w:shd w:val="clear" w:fill="FFFFFF"/>
        </w:rPr>
      </w:pPr>
      <w:r>
        <w:rPr>
          <w:rFonts w:hint="eastAsia"/>
          <w:color w:val="333333"/>
          <w:sz w:val="30"/>
          <w:szCs w:val="30"/>
          <w:shd w:val="clear" w:fill="FFFFFF"/>
          <w:lang w:eastAsia="zh-CN"/>
        </w:rPr>
        <w:t>三江县</w:t>
      </w:r>
      <w:r>
        <w:rPr>
          <w:color w:val="333333"/>
          <w:sz w:val="30"/>
          <w:szCs w:val="30"/>
          <w:shd w:val="clear" w:fill="FFFFFF"/>
        </w:rPr>
        <w:t>2020年经济运行分析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shd w:val="clear" w:fill="FFFFFF"/>
        </w:rPr>
        <w:t>2020年，面对突如其来的新冠肺炎疫情和错综复杂的经济发展形势，</w:t>
      </w:r>
      <w:r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eastAsia="zh-CN"/>
        </w:rPr>
        <w:t>三江县</w:t>
      </w:r>
      <w:r>
        <w:rPr>
          <w:rFonts w:hint="eastAsia" w:ascii="仿宋" w:hAnsi="仿宋" w:eastAsia="仿宋" w:cs="仿宋"/>
          <w:spacing w:val="0"/>
          <w:sz w:val="28"/>
          <w:szCs w:val="28"/>
          <w:shd w:val="clear" w:fill="FFFFFF"/>
        </w:rPr>
        <w:t>深入贯彻中央、自治区各项决策部署，科学统筹推进疫情防控和经济社会发展，扎实做好“六稳”工作、全面落实“六保”任务，经济快速企稳回升，</w:t>
      </w:r>
      <w:r>
        <w:rPr>
          <w:rFonts w:hint="eastAsia" w:ascii="仿宋" w:hAnsi="仿宋" w:eastAsia="仿宋" w:cs="仿宋"/>
          <w:sz w:val="28"/>
          <w:szCs w:val="28"/>
          <w:shd w:val="clear" w:fill="FFFFFF"/>
        </w:rPr>
        <w:t>呈持续稳步恢复态势</w:t>
      </w:r>
      <w:r>
        <w:rPr>
          <w:rFonts w:hint="eastAsia" w:ascii="仿宋" w:hAnsi="仿宋" w:eastAsia="仿宋" w:cs="仿宋"/>
          <w:spacing w:val="0"/>
          <w:sz w:val="28"/>
          <w:szCs w:val="28"/>
          <w:shd w:val="clear" w:fill="FFFFFF"/>
        </w:rPr>
        <w:t>。</w:t>
      </w:r>
      <w:r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  <w:t>2020年全县全年实现地区生产总值（GDP）78.44亿元，同比增长5.9%。分产业看，第一产业增加值20.54亿元，同比增长1.1%；第二产业增加值15.09亿元，同比增长16.4%；第三产业增加值42.81亿元，同比增长5.0%。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  <w:t>农业低速增长。全县农林牧渔业总产值实现34.31亿元，同比增长1.1%。一是种植业生产保持稳定，1-12月农业总产23.38亿元，占农林牧渔业比重68.1%，同比增长5.0%。1-12月农业产值比较单一，主要以茶叶为主，茶叶产值16.76亿元，同比增长4.7%，其次为粮食作物，产值为2.25亿元，同比增长2.6%。二是林业生产下降，1-12月林业总产值3.94亿元，占农林牧渔业比重11.5%，同比下降6.7%。 三是牧业生产形势严峻，1-12月牧业总产值4.7亿元，占农林牧渔业比重13.7%，同比下降10%，主要仍受非洲猪瘟和新冠疫情影响，回升的空间有限。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Toc22116"/>
      <w:r>
        <w:rPr>
          <w:rFonts w:hint="eastAsia" w:ascii="仿宋" w:hAnsi="仿宋" w:eastAsia="仿宋" w:cs="仿宋"/>
          <w:spacing w:val="0"/>
          <w:kern w:val="0"/>
          <w:sz w:val="28"/>
          <w:szCs w:val="28"/>
          <w:shd w:val="clear" w:fill="FFFFFF"/>
          <w:lang w:val="en-US" w:eastAsia="zh-CN" w:bidi="ar"/>
        </w:rPr>
        <w:t>二、工业产值持续高速增长。全县规模以上工业增加值同比增长35.9%，规模以上工业企业总产值同比增长43.5%。其中制造业产值同比增长65.4%。三家建材生产公司是新增入库企业，订单增多，同比累计增长36.2%。茶叶加工企业恢复生产，茶叶加工行业产值高速增长，同比增长131.4%，拉动全县工业产值16.4个百分点。电力、热力生产和供应业企业产值同比增长5.5%。</w:t>
      </w:r>
      <w:bookmarkEnd w:id="0"/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  <w:t>三、建筑业生产提升显著，成为拉动二产发展的另一主力军。1-12月建筑业产值7.87亿元，同比增长42.9%。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  <w:t>四、贸易业发展形势逐步回暖。2020年全县限额以上住宿业累计营业额0.59亿元，同比下降16.8%，较前三季度提高11.7个百分点；限上餐饮业累计营业额0.39亿元，同比增长13.6%，转负为正，较前三季度提高44.3个百分点；限上零售业销售额2.22亿元，同比增长2.6%，较前三季度下降3.6个百分；1-12月限额以上批发业销售额0.74亿元，同比增长447.9%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  <w:t>五、其他营利性服务业发展稳中有进。1-11月全县营利性服务业增加值4.45亿元，同比增长19.8%，增速较1-8月提高14.6个百分点。全县在库规模以上服务业企业新增月度入库2家，总共7家，1-11月有2家实现营业收入实现增长态势，3家企业呈下降趋势。分行业看，文化、体育和娱乐业4家，同比下降6%；租赁和商务服务业1家，同比增长21.1%；居民服务、修理和其他服务业2家无同期数属于纯增长型企业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  <w:t>六、非营利性服务业增速回升。前三季度全县非营利性服务业增加值14.66亿元，同比增长3.8%，较上半年提高3.4个百分点。数据显示，非营利性服务业占第三产业比重43.8%，占GDP比重22.5%，占比较大易拉动行业增长。前三季度房地产业、公共管理、文化、教育、卫生五大行业劳动工资统计结果呈二增三减趋势。前三季度教育业基本摆脱了疫情影响，劳动工资同比增长11.3%；公共管理、社会保障和社会组织工资总额同比增长27.2%；受疫情影响，我县文化、体育、娱乐业第三季度同比下降11.8%；我县房地产业劳动工资统计报表数据同比下降15.5%；卫生和社会工作第三季度劳动工资同比下降1.1%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  <w:t>七、固定资产投资总体平稳。1-12月固定资产完成投资同比增长13.3%，高于全市平均水平14.3个百分点。其中项目投资同比下降8.3%，房地产投资同比增长325.1%。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360" w:lineRule="auto"/>
        <w:ind w:leftChars="200" w:right="0" w:rightChars="0"/>
        <w:textAlignment w:val="auto"/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  <w:t>八、存在薄弱环节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  <w:t>（一）受资质等级、规模等因素限制，我县建筑企业发展不平衡，市场竞争力不强，承建高标准项目的能力有限，制约建筑业企业的后续发展，发展后劲不足。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  <w:t>(二)投资动能、后劲不足。500-5000万元项目完成投资同比下降8.3%，持续低迷，主要是在库500-5000万投资项目较去年同期减少，且较多项目已接近竣工。主要拉动是续建5000万元以上投资项目及本年新增的房地产项目，新增5000万元以上项目少，支撑投资增长的后劲不足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360" w:lineRule="auto"/>
        <w:ind w:right="0" w:rightChars="0" w:firstLine="560" w:firstLineChars="200"/>
        <w:textAlignment w:val="auto"/>
        <w:rPr>
          <w:rFonts w:hint="default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  <w:t>(</w:t>
      </w:r>
      <w:r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  <w:t>三</w:t>
      </w:r>
      <w:r>
        <w:rPr>
          <w:rFonts w:hint="default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  <w:t>)</w:t>
      </w:r>
      <w:r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  <w:t>工业薄弱，抗风险能力低。规模以上工业仅有17家，规模以上工业总值不足9个亿，工业拉动经济增长的能力明显不足。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360" w:lineRule="auto"/>
        <w:ind w:right="0" w:rightChars="0" w:firstLine="560" w:firstLineChars="200"/>
        <w:textAlignment w:val="auto"/>
        <w:rPr>
          <w:rFonts w:hint="default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  <w:t>九、为做好2021年经济，根据2021年“起步就要提速、开局就要争先”的要求建议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  <w:t>（一）合理利用相关政策、资金等扶持我县建筑业企业发展壮大，提高建筑业企业资质等级等，增强我县建筑业的综合实力。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  <w:t>（二）统筹协调，推进重点项目建设。一是完善重大项目库建设，并积极统筹推进重大项目，加快项目建设步伐。二是加大政策性融资力度，强力推进重大项目建设。三是有项目的单位（企业）要加强与发改局、统计局的沟通，明确入库要求，及时做好项目入库和项目推进工作，保证项目依法统计、不重不漏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  <w:t>（三）要加强对各乡镇统计助理和统计从业人员的管理。目前现各乡镇助理、企业统计员普遍存在变换频繁或者身兼数职，不能及时、准确上报报表。为确保统计数据准确性、及时性、完整性，对各乡镇建议要保证统计助理的工作时间，有充裕的时间上报统计报表，企业方面建议企业聘请专职会计或加强兼职会计熟悉业务能力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  <w:t>（四）主管部门要服务好企业，做好新企业入库（特别是工业新企业入库）和在库企业的服务和监测工作。一是加强新企业入库工作，确保经济增长有新活力。二是增强精准服务力度，特别是要服务好重点的负增长的企业，全力帮扶企业尽快恢复生产。二是评估在库企业的可持续发展能力，加大对于影响全县经济的重点企业的支持，形成引领带动效应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（攥稿人：杨燕玲）</w:t>
      </w:r>
    </w:p>
    <w:p>
      <w:pPr>
        <w:jc w:val="center"/>
      </w:pPr>
      <w:bookmarkStart w:id="1" w:name="_Toc27645"/>
      <w:r>
        <w:object>
          <v:shape id="_x0000_i1025" o:spt="75" alt="" type="#_x0000_t75" style="height:485.65pt;width:431.5pt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  <w10:wrap type="none"/>
            <w10:anchorlock/>
          </v:shape>
          <o:OLEObject Type="Embed" ProgID="Excel.Sheet.12" ShapeID="_x0000_i1025" DrawAspect="Content" ObjectID="_1468075725" r:id="rId5">
            <o:LockedField>false</o:LockedField>
          </o:OLEObject>
        </w:object>
      </w:r>
      <w:bookmarkEnd w:id="1"/>
      <w:bookmarkStart w:id="2" w:name="_GoBack"/>
      <w:bookmarkEnd w:id="2"/>
    </w:p>
    <w:sectPr>
      <w:footerReference r:id="rId3" w:type="default"/>
      <w:pgSz w:w="11850" w:h="16783"/>
      <w:pgMar w:top="1440" w:right="1587" w:bottom="1440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1FF03B"/>
    <w:multiLevelType w:val="singleLevel"/>
    <w:tmpl w:val="EC1FF0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96191"/>
    <w:rsid w:val="006678E1"/>
    <w:rsid w:val="00AB041D"/>
    <w:rsid w:val="04251877"/>
    <w:rsid w:val="05887433"/>
    <w:rsid w:val="09E91890"/>
    <w:rsid w:val="0DC40C4C"/>
    <w:rsid w:val="0E176891"/>
    <w:rsid w:val="0E3458E3"/>
    <w:rsid w:val="107F4380"/>
    <w:rsid w:val="14947978"/>
    <w:rsid w:val="15B472B3"/>
    <w:rsid w:val="19943F1C"/>
    <w:rsid w:val="1D5A25C9"/>
    <w:rsid w:val="1E5C113B"/>
    <w:rsid w:val="2222335B"/>
    <w:rsid w:val="2C0022F1"/>
    <w:rsid w:val="2E901BE6"/>
    <w:rsid w:val="2FA000FC"/>
    <w:rsid w:val="320F04E6"/>
    <w:rsid w:val="32F46608"/>
    <w:rsid w:val="33517625"/>
    <w:rsid w:val="3368597F"/>
    <w:rsid w:val="33BA6D5F"/>
    <w:rsid w:val="35426BAC"/>
    <w:rsid w:val="37446D32"/>
    <w:rsid w:val="380038D8"/>
    <w:rsid w:val="38F333F9"/>
    <w:rsid w:val="39B27A08"/>
    <w:rsid w:val="3AE6110C"/>
    <w:rsid w:val="3D8919F4"/>
    <w:rsid w:val="3E9A53E0"/>
    <w:rsid w:val="428265C9"/>
    <w:rsid w:val="47744A1C"/>
    <w:rsid w:val="47DD6253"/>
    <w:rsid w:val="48A51201"/>
    <w:rsid w:val="4A164EAC"/>
    <w:rsid w:val="4ABC7FBF"/>
    <w:rsid w:val="4B1C5B53"/>
    <w:rsid w:val="4B3E0ED8"/>
    <w:rsid w:val="4B7A1C65"/>
    <w:rsid w:val="4C3A5CD4"/>
    <w:rsid w:val="4CB449AE"/>
    <w:rsid w:val="4D137EF5"/>
    <w:rsid w:val="4D933640"/>
    <w:rsid w:val="511C0218"/>
    <w:rsid w:val="516C4F40"/>
    <w:rsid w:val="52377B41"/>
    <w:rsid w:val="54325399"/>
    <w:rsid w:val="56433752"/>
    <w:rsid w:val="56A8055F"/>
    <w:rsid w:val="5759392F"/>
    <w:rsid w:val="5922571A"/>
    <w:rsid w:val="59A84A91"/>
    <w:rsid w:val="59A96191"/>
    <w:rsid w:val="59B02499"/>
    <w:rsid w:val="5A0510F6"/>
    <w:rsid w:val="5C3147BE"/>
    <w:rsid w:val="5D442C79"/>
    <w:rsid w:val="5DE124DA"/>
    <w:rsid w:val="5E3F13DD"/>
    <w:rsid w:val="60542255"/>
    <w:rsid w:val="61496546"/>
    <w:rsid w:val="63DE02C5"/>
    <w:rsid w:val="64875D0B"/>
    <w:rsid w:val="657D7C06"/>
    <w:rsid w:val="66C34FD8"/>
    <w:rsid w:val="673808A8"/>
    <w:rsid w:val="6856239C"/>
    <w:rsid w:val="68C907D9"/>
    <w:rsid w:val="69060B6B"/>
    <w:rsid w:val="699D0F64"/>
    <w:rsid w:val="6A2147E1"/>
    <w:rsid w:val="6D0C5CBF"/>
    <w:rsid w:val="6D676B3A"/>
    <w:rsid w:val="6DC37313"/>
    <w:rsid w:val="6F381156"/>
    <w:rsid w:val="715F1DFE"/>
    <w:rsid w:val="729631B4"/>
    <w:rsid w:val="73216FF5"/>
    <w:rsid w:val="73E02D00"/>
    <w:rsid w:val="75EB285D"/>
    <w:rsid w:val="761A7A1C"/>
    <w:rsid w:val="7BF7301C"/>
    <w:rsid w:val="7C0436AD"/>
    <w:rsid w:val="7F3658E9"/>
    <w:rsid w:val="7F41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WPSOffice手动目录 1"/>
    <w:qFormat/>
    <w:uiPriority w:val="0"/>
    <w:pPr>
      <w:ind w:leftChars="0"/>
    </w:pPr>
    <w:rPr>
      <w:rFonts w:ascii="Calibri" w:hAnsi="Calibri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2021-02-16T07:46:00Z</dcterms:created>
  <dc:creator>Administrator</dc:creator>
  <cp:lastModifiedBy>lenovo</cp:lastModifiedBy>
  <cp:lastPrinted>2021-02-25T09:53:00Z</cp:lastPrinted>
  <dcterms:modified xsi:type="dcterms:W3CDTF">2021-04-22T07:47:13Z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5254DE09BB774607897CEF9614C76276</vt:lpwstr>
  </property>
</Properties>
</file>