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560" w:lineRule="exac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内部资料 请注意保管</w:t>
      </w:r>
    </w:p>
    <w:p>
      <w:pPr>
        <w:tabs>
          <w:tab w:val="left" w:pos="1260"/>
        </w:tabs>
        <w:spacing w:line="480" w:lineRule="auto"/>
        <w:jc w:val="both"/>
        <w:rPr>
          <w:rFonts w:hint="eastAsia" w:ascii="仿宋" w:hAnsi="仿宋" w:eastAsia="仿宋" w:cs="仿宋"/>
          <w:b/>
          <w:color w:val="FF0000"/>
          <w:sz w:val="84"/>
          <w:szCs w:val="84"/>
        </w:rPr>
      </w:pP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b/>
          <w:color w:val="FF0000"/>
          <w:sz w:val="84"/>
          <w:szCs w:val="84"/>
        </w:rPr>
      </w:pP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b/>
          <w:color w:val="FF0000"/>
          <w:sz w:val="84"/>
          <w:szCs w:val="84"/>
        </w:rPr>
      </w:pPr>
      <w:r>
        <w:rPr>
          <w:rFonts w:hint="eastAsia" w:ascii="仿宋" w:hAnsi="仿宋" w:eastAsia="仿宋" w:cs="仿宋"/>
          <w:b/>
          <w:color w:val="FF0000"/>
          <w:sz w:val="84"/>
          <w:szCs w:val="84"/>
        </w:rPr>
        <w:t>统</w:t>
      </w: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b/>
          <w:color w:val="FF0000"/>
          <w:sz w:val="84"/>
          <w:szCs w:val="84"/>
        </w:rPr>
      </w:pPr>
      <w:r>
        <w:rPr>
          <w:rFonts w:hint="eastAsia" w:ascii="仿宋" w:hAnsi="仿宋" w:eastAsia="仿宋" w:cs="仿宋"/>
          <w:b/>
          <w:color w:val="FF0000"/>
          <w:sz w:val="84"/>
          <w:szCs w:val="84"/>
        </w:rPr>
        <w:t>计</w:t>
      </w: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b/>
          <w:color w:val="FF0000"/>
          <w:sz w:val="84"/>
          <w:szCs w:val="84"/>
        </w:rPr>
      </w:pPr>
      <w:r>
        <w:rPr>
          <w:rFonts w:hint="eastAsia" w:ascii="仿宋" w:hAnsi="仿宋" w:eastAsia="仿宋" w:cs="仿宋"/>
          <w:b/>
          <w:color w:val="FF0000"/>
          <w:sz w:val="84"/>
          <w:szCs w:val="84"/>
        </w:rPr>
        <w:t>专</w:t>
      </w: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b/>
          <w:color w:val="FF0000"/>
          <w:sz w:val="84"/>
          <w:szCs w:val="84"/>
        </w:rPr>
      </w:pPr>
      <w:r>
        <w:rPr>
          <w:rFonts w:hint="eastAsia" w:ascii="仿宋" w:hAnsi="仿宋" w:eastAsia="仿宋" w:cs="仿宋"/>
          <w:b/>
          <w:color w:val="FF0000"/>
          <w:sz w:val="84"/>
          <w:szCs w:val="84"/>
        </w:rPr>
        <w:t>报</w:t>
      </w: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20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21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第六期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上半年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三江县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经济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运行呈稳中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向好态势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今年以来，三江县深入贯彻习近平总书记视察广西、视察柳州时的重要讲话和重要指示精神，坚决落实自治区党委、政府和市委市政府的决策部署，全力以赴巩固拓展疫情防控和经济社会发展成果。上半年全县经济主要指标增势良好，经济运行稳定恢复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根据地区生产总值统一核算结果，上半年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三江县</w:t>
      </w:r>
      <w:r>
        <w:rPr>
          <w:rFonts w:hint="eastAsia" w:ascii="仿宋" w:hAnsi="仿宋" w:eastAsia="仿宋" w:cs="仿宋"/>
          <w:sz w:val="28"/>
          <w:szCs w:val="28"/>
        </w:rPr>
        <w:t>生产总值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38.2</w:t>
      </w:r>
      <w:r>
        <w:rPr>
          <w:rFonts w:hint="eastAsia" w:ascii="仿宋" w:hAnsi="仿宋" w:eastAsia="仿宋" w:cs="仿宋"/>
          <w:sz w:val="28"/>
          <w:szCs w:val="28"/>
        </w:rPr>
        <w:t>亿元，按可比价格计算，同比增长1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>%，增速比一季度回落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9.2</w:t>
      </w:r>
      <w:r>
        <w:rPr>
          <w:rFonts w:hint="eastAsia" w:ascii="仿宋" w:hAnsi="仿宋" w:eastAsia="仿宋" w:cs="仿宋"/>
          <w:sz w:val="28"/>
          <w:szCs w:val="28"/>
        </w:rPr>
        <w:t>个百分点；两年平均增长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8.4</w:t>
      </w:r>
      <w:r>
        <w:rPr>
          <w:rFonts w:hint="eastAsia" w:ascii="仿宋" w:hAnsi="仿宋" w:eastAsia="仿宋" w:cs="仿宋"/>
          <w:sz w:val="28"/>
          <w:szCs w:val="28"/>
        </w:rPr>
        <w:t>%，两年平均增速比一季度加快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4.9</w:t>
      </w:r>
      <w:r>
        <w:rPr>
          <w:rFonts w:hint="eastAsia" w:ascii="仿宋" w:hAnsi="仿宋" w:eastAsia="仿宋" w:cs="仿宋"/>
          <w:sz w:val="28"/>
          <w:szCs w:val="28"/>
        </w:rPr>
        <w:t>个百分点。分产业看，第一产业增加值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6.67</w:t>
      </w:r>
      <w:r>
        <w:rPr>
          <w:rFonts w:hint="eastAsia" w:ascii="仿宋" w:hAnsi="仿宋" w:eastAsia="仿宋" w:cs="仿宋"/>
          <w:sz w:val="28"/>
          <w:szCs w:val="28"/>
        </w:rPr>
        <w:t>亿元，同比增长7.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%，两年平均增长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5.1</w:t>
      </w:r>
      <w:r>
        <w:rPr>
          <w:rFonts w:hint="eastAsia" w:ascii="仿宋" w:hAnsi="仿宋" w:eastAsia="仿宋" w:cs="仿宋"/>
          <w:sz w:val="28"/>
          <w:szCs w:val="28"/>
        </w:rPr>
        <w:t>%；第二产业增加值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9.12</w:t>
      </w:r>
      <w:r>
        <w:rPr>
          <w:rFonts w:hint="eastAsia" w:ascii="仿宋" w:hAnsi="仿宋" w:eastAsia="仿宋" w:cs="仿宋"/>
          <w:sz w:val="28"/>
          <w:szCs w:val="28"/>
        </w:rPr>
        <w:t>亿元，同比增长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14.6</w:t>
      </w:r>
      <w:r>
        <w:rPr>
          <w:rFonts w:hint="eastAsia" w:ascii="仿宋" w:hAnsi="仿宋" w:eastAsia="仿宋" w:cs="仿宋"/>
          <w:sz w:val="28"/>
          <w:szCs w:val="28"/>
        </w:rPr>
        <w:t>%，两年平均增长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21.4</w:t>
      </w:r>
      <w:r>
        <w:rPr>
          <w:rFonts w:hint="eastAsia" w:ascii="仿宋" w:hAnsi="仿宋" w:eastAsia="仿宋" w:cs="仿宋"/>
          <w:sz w:val="28"/>
          <w:szCs w:val="28"/>
        </w:rPr>
        <w:t>%；第三产业增加值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22.41</w:t>
      </w:r>
      <w:r>
        <w:rPr>
          <w:rFonts w:hint="eastAsia" w:ascii="仿宋" w:hAnsi="仿宋" w:eastAsia="仿宋" w:cs="仿宋"/>
          <w:sz w:val="28"/>
          <w:szCs w:val="28"/>
        </w:rPr>
        <w:t>亿元，同比增长1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%，两年平均增长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5.3</w:t>
      </w:r>
      <w:r>
        <w:rPr>
          <w:rFonts w:hint="eastAsia" w:ascii="仿宋" w:hAnsi="仿宋" w:eastAsia="仿宋" w:cs="仿宋"/>
          <w:sz w:val="28"/>
          <w:szCs w:val="28"/>
        </w:rPr>
        <w:t>%。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一、农业生产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向好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畜牧业发展势头强劲</w:t>
      </w:r>
    </w:p>
    <w:p>
      <w:pPr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上半年，全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农林牧渔业增加值同比增长7.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3%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，增速比一季度加快0.3个百分点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两年平均增长5.4%。全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春收粮食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1248.77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吨，比上年增加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7.66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吨，增长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0.6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%。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干茶产量较快增长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蔬菜产量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平稳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增长。上半年，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干茶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产量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8581.1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吨，同比增长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7.4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%；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蔬菜产量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18022.3吨，同比增长2.2%。木材采伐量快速增长，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上半年木材采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伐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12.62万立方米，同比增长33.3%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生猪产能加快恢复。二季度末，生猪存栏73068头，同比增长8.4%，其中能繁母猪存栏增长87.1%。生猪出栏35634头，同比增长21.6%。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工业生产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持续恢复，制造业支撑作用明显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上半年，全县工业增加值同比增长21.6，两年平均增长11.8%，比一季度回落3.2个百分点，其中，规模以上工业增加值同比增长31.6%，两年平均增长24.4%。分行业看，制造业增加值同比增长23.1%，两年平均增长44.4%；电力、热力、燃气及水生产和供应业增加值同比增长14.1%，两年平均增长9.9%。</w:t>
      </w: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服务业稳步恢复，文化、娱乐业较快增长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1-5月全县规模以上服务业营业收入同比增长71.4%，两年平均增长27.3%。其中租赁与商务服务业同比增长1.6%，文化、娱乐业同比增长110.5%，两年平均增长分别为9.2%、23.6%。</w:t>
      </w: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市场销售逐步改善，城镇消费贡献突出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上半年，全县社会消费品零售总额13.81亿元，同比增长19.7%，两年平均增长6.7%，两年平均增速比一季度提高4.7个百分点。按经营所在地分，城镇消费品零售额同比增长20.2%，两年平均增长15%；乡村消费品零售额同比增长18.9%，两年平均下降2.7%。按销售类型分，餐饮收入同比增长33.2%，两年平均下降11%；商品零售同比增长18.6%，两年平均增长8.8%。</w:t>
      </w: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固定投资稳中有升，房地产投资快速增长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上半年，全县</w:t>
      </w: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固定资产完成投资同比增长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25.1%，两年平均增长38.7%，比一季度提高0.6个百分点。其中：5000万元以上在库项目完成固定资产投资同比增长17.7%；5000万元以下在库项目完成固定资产投资同比下降18.8%；房地产开发投资10.1亿元，同比增长52.4%。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分领域看，工业投资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shd w:val="clear" w:fill="FFFFFF"/>
          <w:lang w:val="en-US" w:eastAsia="zh-CN"/>
        </w:rPr>
        <w:t>同比下降37.8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%；制造业投资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shd w:val="clear" w:fill="FFFFFF"/>
          <w:lang w:val="en-US" w:eastAsia="zh-CN"/>
        </w:rPr>
        <w:t>同比增长24.1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%；建安投资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shd w:val="clear" w:fill="FFFFFF"/>
          <w:lang w:val="en-US" w:eastAsia="zh-CN"/>
        </w:rPr>
        <w:t>同比增长20.5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%。全县商品房销售面积积11.12万平方米，同比增长13.4%，两年平均增长48%度。分出产业看，上半年没有第一产业投资；第二产业投资同比下降37.8%，两年平均增长30.7%；第三产业投资同比增长47.1%，两年平均增长44.9%。</w:t>
      </w: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财政收支放缓，金融信贷运行总体平稳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上半年，全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财政收入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2.39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亿元，同比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下降29.2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%。一般公共预算收入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1.57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亿元，同比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下降36.1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%。其中，税收收入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1.69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亿元，同比增长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%；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企业所得税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收入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0.3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亿元，同比下降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15.8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%。一般公共预算支出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21.5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亿元，同比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下降7.4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%。其中教育支出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4.68亿元，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同比增长2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8.7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%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社会保障和就业支出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2.26亿元，同比下降1.6%；城乡社区支出2.13亿元，同比增长45.5%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6月末，全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人民币各项存款余额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106.57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亿元，同比增长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3.8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%；其中个人存款83.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亿元，同比增长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%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人民币各项贷款余额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99.84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亿元，同比增长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29.1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%。</w:t>
      </w: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居民收入继续增加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上半年，全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城镇居民人均可支配收入17101元，同比名义增长11.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%；农村居民人均可支配收入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5351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元，同比名义增长14.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%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总体来看，上半年全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经济发展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呈稳中向好态势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。同时应看到，疫情变化和外部环境存在诸多不确定性，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要保持经济持续健康发展仍需努力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。下一步，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县委、县政府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坚持以习近平新时代中国特色社会主义思想为指导，按照“1+7”方案扎实推进各项经济工作，推动经济高质量发展。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816D91"/>
    <w:multiLevelType w:val="singleLevel"/>
    <w:tmpl w:val="5B816D9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TQ3MjlhOTIzYzA2NWY1OTQ3ODRjNDEzZWExZGMifQ=="/>
  </w:docVars>
  <w:rsids>
    <w:rsidRoot w:val="751B455D"/>
    <w:rsid w:val="00A526BB"/>
    <w:rsid w:val="03351706"/>
    <w:rsid w:val="04636802"/>
    <w:rsid w:val="04991027"/>
    <w:rsid w:val="062C005B"/>
    <w:rsid w:val="07627FBC"/>
    <w:rsid w:val="09BA6D79"/>
    <w:rsid w:val="0D661455"/>
    <w:rsid w:val="0ED32557"/>
    <w:rsid w:val="0F59076B"/>
    <w:rsid w:val="0F745385"/>
    <w:rsid w:val="0F7D0DF5"/>
    <w:rsid w:val="12084570"/>
    <w:rsid w:val="12B35253"/>
    <w:rsid w:val="164964AF"/>
    <w:rsid w:val="167F58B0"/>
    <w:rsid w:val="17E967F0"/>
    <w:rsid w:val="1809491A"/>
    <w:rsid w:val="1D436C75"/>
    <w:rsid w:val="1E6F026C"/>
    <w:rsid w:val="1E9675D8"/>
    <w:rsid w:val="21B506D9"/>
    <w:rsid w:val="21BA1E17"/>
    <w:rsid w:val="24D468CC"/>
    <w:rsid w:val="2A777314"/>
    <w:rsid w:val="2B0E3F89"/>
    <w:rsid w:val="2B5C11FB"/>
    <w:rsid w:val="2C0C394F"/>
    <w:rsid w:val="2CC82C80"/>
    <w:rsid w:val="2E740427"/>
    <w:rsid w:val="2F726C05"/>
    <w:rsid w:val="31E31392"/>
    <w:rsid w:val="32B8474A"/>
    <w:rsid w:val="33853D1D"/>
    <w:rsid w:val="339A6901"/>
    <w:rsid w:val="34BA4EC8"/>
    <w:rsid w:val="34EB69E5"/>
    <w:rsid w:val="34ED7176"/>
    <w:rsid w:val="3705585A"/>
    <w:rsid w:val="389425B0"/>
    <w:rsid w:val="38F26C26"/>
    <w:rsid w:val="39C602B6"/>
    <w:rsid w:val="3AED6804"/>
    <w:rsid w:val="3B626A9E"/>
    <w:rsid w:val="3D8744A7"/>
    <w:rsid w:val="3DF262C9"/>
    <w:rsid w:val="3E607EDD"/>
    <w:rsid w:val="3F9F17DE"/>
    <w:rsid w:val="402D533C"/>
    <w:rsid w:val="48855B3F"/>
    <w:rsid w:val="49452D24"/>
    <w:rsid w:val="499F5E19"/>
    <w:rsid w:val="4BAC09ED"/>
    <w:rsid w:val="4C3834BC"/>
    <w:rsid w:val="4DA53C5C"/>
    <w:rsid w:val="4FF370CA"/>
    <w:rsid w:val="531424A5"/>
    <w:rsid w:val="53471183"/>
    <w:rsid w:val="5480404C"/>
    <w:rsid w:val="54AA6C7E"/>
    <w:rsid w:val="55193CED"/>
    <w:rsid w:val="573D64FD"/>
    <w:rsid w:val="57817E28"/>
    <w:rsid w:val="57E6741D"/>
    <w:rsid w:val="586A6CFB"/>
    <w:rsid w:val="59500C1F"/>
    <w:rsid w:val="59707914"/>
    <w:rsid w:val="5C605E61"/>
    <w:rsid w:val="5CDF0A12"/>
    <w:rsid w:val="5CEC4685"/>
    <w:rsid w:val="5DBA58B1"/>
    <w:rsid w:val="600163D2"/>
    <w:rsid w:val="60A62282"/>
    <w:rsid w:val="617474CF"/>
    <w:rsid w:val="61EC67FD"/>
    <w:rsid w:val="629D7B16"/>
    <w:rsid w:val="62A76765"/>
    <w:rsid w:val="62FA71AE"/>
    <w:rsid w:val="63F00B76"/>
    <w:rsid w:val="665F04D0"/>
    <w:rsid w:val="66CC60DC"/>
    <w:rsid w:val="67380DF2"/>
    <w:rsid w:val="681A529E"/>
    <w:rsid w:val="6B173E1D"/>
    <w:rsid w:val="6E4C512E"/>
    <w:rsid w:val="741D0972"/>
    <w:rsid w:val="751B455D"/>
    <w:rsid w:val="79576052"/>
    <w:rsid w:val="7A6B7B66"/>
    <w:rsid w:val="7B0D3EC1"/>
    <w:rsid w:val="7B196A50"/>
    <w:rsid w:val="7BA82BF0"/>
    <w:rsid w:val="7D3A6992"/>
    <w:rsid w:val="7D61364C"/>
    <w:rsid w:val="7E680F00"/>
    <w:rsid w:val="7F6318F4"/>
    <w:rsid w:val="7FAF45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1563</Words>
  <Characters>1932</Characters>
  <Lines>0</Lines>
  <Paragraphs>0</Paragraphs>
  <TotalTime>0</TotalTime>
  <ScaleCrop>false</ScaleCrop>
  <LinksUpToDate>false</LinksUpToDate>
  <CharactersWithSpaces>1944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2021-07-21T01:46:00Z</dcterms:created>
  <dc:creator>WheneyYang</dc:creator>
  <cp:lastModifiedBy>Rancho</cp:lastModifiedBy>
  <dcterms:modified xsi:type="dcterms:W3CDTF">2022-05-07T07:30:03Z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5A604884B8924D9BB56F91B3C3F785A1</vt:lpwstr>
  </property>
</Properties>
</file>