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560" w:lineRule="exact"/>
        <w:rPr>
          <w:rFonts w:hint="eastAsia" w:ascii="宋体" w:hAnsi="宋体" w:eastAsia="宋体"/>
          <w:b/>
          <w:sz w:val="30"/>
          <w:szCs w:val="30"/>
          <w:lang w:val="en-US" w:eastAsia="zh-CN"/>
        </w:rPr>
      </w:pPr>
      <w:r>
        <w:rPr>
          <w:rFonts w:hint="eastAsia" w:ascii="宋体" w:hAnsi="宋体"/>
          <w:b/>
          <w:sz w:val="30"/>
          <w:szCs w:val="30"/>
        </w:rPr>
        <w:t>内部资料</w:t>
      </w:r>
      <w:r>
        <w:rPr>
          <w:rFonts w:hint="eastAsia" w:ascii="宋体" w:hAnsi="宋体"/>
          <w:b/>
          <w:sz w:val="30"/>
          <w:szCs w:val="30"/>
          <w:lang w:val="en-US" w:eastAsia="zh-CN"/>
        </w:rPr>
        <w:t xml:space="preserve"> 请注意保管</w:t>
      </w:r>
    </w:p>
    <w:p>
      <w:pPr>
        <w:tabs>
          <w:tab w:val="left" w:pos="1260"/>
        </w:tabs>
        <w:spacing w:line="560" w:lineRule="exact"/>
        <w:ind w:firstLine="602" w:firstLineChars="200"/>
        <w:rPr>
          <w:rFonts w:hint="eastAsia" w:ascii="宋体" w:hAnsi="宋体"/>
          <w:b/>
          <w:sz w:val="30"/>
          <w:szCs w:val="30"/>
        </w:rPr>
      </w:pPr>
    </w:p>
    <w:p>
      <w:pPr>
        <w:tabs>
          <w:tab w:val="left" w:pos="1260"/>
        </w:tabs>
        <w:spacing w:line="480" w:lineRule="auto"/>
        <w:jc w:val="center"/>
        <w:rPr>
          <w:rFonts w:hint="eastAsia" w:ascii="宋体" w:hAnsi="宋体"/>
          <w:b/>
          <w:color w:val="FF0000"/>
          <w:sz w:val="84"/>
          <w:szCs w:val="84"/>
        </w:rPr>
      </w:pPr>
      <w:r>
        <w:rPr>
          <w:rFonts w:hint="eastAsia" w:ascii="宋体" w:hAnsi="宋体"/>
          <w:b/>
          <w:color w:val="FF0000"/>
          <w:sz w:val="84"/>
          <w:szCs w:val="84"/>
        </w:rPr>
        <w:t>统 计 专 报</w:t>
      </w:r>
    </w:p>
    <w:p>
      <w:pPr>
        <w:tabs>
          <w:tab w:val="left" w:pos="1260"/>
        </w:tabs>
        <w:spacing w:line="480" w:lineRule="auto"/>
        <w:ind w:firstLine="720" w:firstLineChars="200"/>
        <w:rPr>
          <w:rFonts w:hint="eastAsia" w:ascii="黑体" w:eastAsia="黑体"/>
          <w:sz w:val="36"/>
          <w:szCs w:val="36"/>
        </w:rPr>
      </w:pPr>
    </w:p>
    <w:p>
      <w:pPr>
        <w:tabs>
          <w:tab w:val="left" w:pos="1260"/>
        </w:tabs>
        <w:spacing w:line="480" w:lineRule="auto"/>
        <w:jc w:val="center"/>
        <w:rPr>
          <w:rFonts w:hint="eastAsia" w:ascii="宋体" w:hAnsi="宋体"/>
          <w:b/>
          <w:sz w:val="32"/>
          <w:szCs w:val="32"/>
        </w:rPr>
      </w:pPr>
      <w:r>
        <w:rPr>
          <w:rFonts w:hint="eastAsia" w:ascii="宋体" w:hAnsi="宋体"/>
          <w:sz w:val="32"/>
          <w:szCs w:val="32"/>
        </w:rPr>
        <w:t>20</w:t>
      </w:r>
      <w:r>
        <w:rPr>
          <w:rFonts w:hint="eastAsia" w:ascii="宋体" w:hAnsi="宋体"/>
          <w:sz w:val="32"/>
          <w:szCs w:val="32"/>
          <w:lang w:val="en-US" w:eastAsia="zh-CN"/>
        </w:rPr>
        <w:t>20</w:t>
      </w:r>
      <w:r>
        <w:rPr>
          <w:rFonts w:hint="eastAsia" w:ascii="宋体" w:hAnsi="宋体"/>
          <w:sz w:val="32"/>
          <w:szCs w:val="32"/>
        </w:rPr>
        <w:t>年</w:t>
      </w:r>
      <w:r>
        <w:rPr>
          <w:rFonts w:hint="eastAsia" w:ascii="宋体" w:hAnsi="宋体"/>
          <w:sz w:val="32"/>
          <w:szCs w:val="32"/>
          <w:lang w:val="en-US" w:eastAsia="zh-CN"/>
        </w:rPr>
        <w:t>8</w:t>
      </w:r>
      <w:bookmarkStart w:id="11" w:name="_GoBack"/>
      <w:bookmarkEnd w:id="11"/>
      <w:r>
        <w:rPr>
          <w:rFonts w:hint="eastAsia" w:ascii="宋体" w:hAnsi="宋体"/>
          <w:sz w:val="32"/>
          <w:szCs w:val="32"/>
        </w:rPr>
        <w:t>月</w:t>
      </w:r>
    </w:p>
    <w:p>
      <w:pPr>
        <w:tabs>
          <w:tab w:val="left" w:pos="1260"/>
        </w:tabs>
        <w:spacing w:line="560" w:lineRule="exact"/>
        <w:rPr>
          <w:rFonts w:hint="eastAsia" w:ascii="仿宋_GB2312" w:eastAsia="仿宋_GB2312"/>
          <w:sz w:val="32"/>
          <w:szCs w:val="32"/>
          <w:u w:val="thick" w:color="FF0000"/>
        </w:rPr>
      </w:pPr>
      <w:r>
        <w:rPr>
          <w:rFonts w:hint="eastAsia" w:ascii="仿宋_GB2312" w:eastAsia="仿宋_GB2312"/>
          <w:sz w:val="32"/>
          <w:szCs w:val="32"/>
          <w:u w:val="thick" w:color="FF0000"/>
        </w:rPr>
        <w:t>三江县统计局                          签发人：梁</w:t>
      </w:r>
      <w:r>
        <w:rPr>
          <w:rFonts w:hint="eastAsia" w:ascii="仿宋_GB2312" w:eastAsia="仿宋_GB2312"/>
          <w:sz w:val="32"/>
          <w:szCs w:val="32"/>
          <w:u w:val="thick" w:color="FF0000"/>
          <w:lang w:eastAsia="zh-CN"/>
        </w:rPr>
        <w:t>宏耀</w:t>
      </w:r>
      <w:r>
        <w:rPr>
          <w:rFonts w:hint="eastAsia" w:ascii="仿宋_GB2312" w:eastAsia="仿宋_GB2312"/>
          <w:sz w:val="32"/>
          <w:szCs w:val="32"/>
          <w:u w:val="thick" w:color="FF0000"/>
        </w:rPr>
        <w:t xml:space="preserve"> </w:t>
      </w:r>
    </w:p>
    <w:p>
      <w:pPr>
        <w:tabs>
          <w:tab w:val="left" w:pos="1260"/>
        </w:tabs>
        <w:spacing w:line="560" w:lineRule="exact"/>
        <w:rPr>
          <w:rFonts w:hint="eastAsia" w:ascii="黑体" w:eastAsia="黑体"/>
          <w:sz w:val="36"/>
          <w:szCs w:val="36"/>
        </w:rPr>
      </w:pPr>
    </w:p>
    <w:p>
      <w:pPr>
        <w:spacing w:before="0" w:after="0" w:line="240" w:lineRule="auto"/>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p>
      <w:pPr>
        <w:pStyle w:val="6"/>
        <w:tabs>
          <w:tab w:val="right" w:leader="dot" w:pos="8306"/>
        </w:tabs>
        <w:rPr>
          <w:rFonts w:hint="eastAsia"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_Toc10495 </w:instrText>
      </w:r>
      <w:r>
        <w:rPr>
          <w:rFonts w:hint="eastAsia" w:ascii="仿宋" w:hAnsi="仿宋" w:eastAsia="仿宋" w:cs="仿宋"/>
          <w:b/>
          <w:sz w:val="28"/>
          <w:szCs w:val="28"/>
        </w:rPr>
        <w:fldChar w:fldCharType="separate"/>
      </w:r>
      <w:r>
        <w:rPr>
          <w:rFonts w:hint="eastAsia" w:ascii="仿宋" w:hAnsi="仿宋" w:eastAsia="仿宋" w:cs="仿宋"/>
          <w:b/>
          <w:sz w:val="28"/>
          <w:szCs w:val="28"/>
          <w:lang w:val="en-US" w:eastAsia="zh-CN"/>
        </w:rPr>
        <w:t>三江县2020年上半年国民经济由负转正 稳步复苏</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_Toc10495 </w:instrText>
      </w:r>
      <w:r>
        <w:rPr>
          <w:rFonts w:hint="eastAsia" w:ascii="仿宋" w:hAnsi="仿宋" w:eastAsia="仿宋" w:cs="仿宋"/>
          <w:b/>
          <w:sz w:val="28"/>
          <w:szCs w:val="28"/>
        </w:rPr>
        <w:fldChar w:fldCharType="separate"/>
      </w:r>
      <w:r>
        <w:rPr>
          <w:rFonts w:hint="eastAsia" w:ascii="仿宋" w:hAnsi="仿宋" w:eastAsia="仿宋" w:cs="仿宋"/>
          <w:b/>
          <w:sz w:val="28"/>
          <w:szCs w:val="28"/>
        </w:rPr>
        <w:t>1</w:t>
      </w:r>
      <w:r>
        <w:rPr>
          <w:rFonts w:hint="eastAsia" w:ascii="仿宋" w:hAnsi="仿宋" w:eastAsia="仿宋" w:cs="仿宋"/>
          <w:b/>
          <w:sz w:val="28"/>
          <w:szCs w:val="28"/>
        </w:rPr>
        <w:fldChar w:fldCharType="end"/>
      </w:r>
      <w:r>
        <w:rPr>
          <w:rFonts w:hint="eastAsia" w:ascii="仿宋" w:hAnsi="仿宋" w:eastAsia="仿宋" w:cs="仿宋"/>
          <w:b/>
          <w:sz w:val="28"/>
          <w:szCs w:val="28"/>
        </w:rPr>
        <w:fldChar w:fldCharType="end"/>
      </w:r>
    </w:p>
    <w:p>
      <w:pPr>
        <w:pStyle w:val="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_Toc8530 </w:instrText>
      </w:r>
      <w:r>
        <w:rPr>
          <w:rFonts w:hint="eastAsia" w:ascii="仿宋" w:hAnsi="仿宋" w:eastAsia="仿宋" w:cs="仿宋"/>
          <w:b/>
          <w:sz w:val="28"/>
          <w:szCs w:val="28"/>
        </w:rPr>
        <w:fldChar w:fldCharType="separate"/>
      </w:r>
      <w:r>
        <w:rPr>
          <w:rFonts w:hint="eastAsia" w:ascii="仿宋" w:hAnsi="仿宋" w:eastAsia="仿宋" w:cs="仿宋"/>
          <w:b/>
          <w:sz w:val="28"/>
          <w:szCs w:val="28"/>
          <w:lang w:val="en-US" w:eastAsia="zh-CN"/>
        </w:rPr>
        <w:t>一、 三江县上半年国民经济主要指标完成情况</w:t>
      </w:r>
      <w:r>
        <w:rPr>
          <w:rFonts w:hint="eastAsia" w:ascii="仿宋" w:hAnsi="仿宋" w:eastAsia="仿宋" w:cs="仿宋"/>
          <w:b/>
          <w:sz w:val="28"/>
          <w:szCs w:val="28"/>
        </w:rPr>
        <w:tab/>
      </w:r>
      <w:r>
        <w:rPr>
          <w:rFonts w:hint="eastAsia" w:ascii="仿宋" w:hAnsi="仿宋" w:eastAsia="仿宋" w:cs="仿宋"/>
          <w:b/>
          <w:sz w:val="28"/>
          <w:szCs w:val="28"/>
          <w:lang w:val="en-US" w:eastAsia="zh-CN"/>
        </w:rPr>
        <w:t>1</w:t>
      </w:r>
      <w:r>
        <w:rPr>
          <w:rFonts w:hint="eastAsia" w:ascii="仿宋" w:hAnsi="仿宋" w:eastAsia="仿宋" w:cs="仿宋"/>
          <w:b/>
          <w:sz w:val="28"/>
          <w:szCs w:val="28"/>
        </w:rPr>
        <w:fldChar w:fldCharType="end"/>
      </w:r>
    </w:p>
    <w:p>
      <w:pPr>
        <w:pStyle w:val="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_Toc27029 </w:instrText>
      </w:r>
      <w:r>
        <w:rPr>
          <w:rFonts w:hint="eastAsia" w:ascii="仿宋" w:hAnsi="仿宋" w:eastAsia="仿宋" w:cs="仿宋"/>
          <w:b/>
          <w:sz w:val="28"/>
          <w:szCs w:val="28"/>
        </w:rPr>
        <w:fldChar w:fldCharType="separate"/>
      </w:r>
      <w:r>
        <w:rPr>
          <w:rFonts w:hint="eastAsia" w:ascii="仿宋" w:hAnsi="仿宋" w:eastAsia="仿宋" w:cs="仿宋"/>
          <w:b/>
          <w:sz w:val="28"/>
          <w:szCs w:val="28"/>
          <w:lang w:val="en-US" w:eastAsia="zh-CN"/>
        </w:rPr>
        <w:t>二、 三江县上半年国民经济运行的基本情况</w:t>
      </w:r>
      <w:r>
        <w:rPr>
          <w:rFonts w:hint="eastAsia" w:ascii="仿宋" w:hAnsi="仿宋" w:eastAsia="仿宋" w:cs="仿宋"/>
          <w:b/>
          <w:sz w:val="28"/>
          <w:szCs w:val="28"/>
        </w:rPr>
        <w:tab/>
      </w:r>
      <w:r>
        <w:rPr>
          <w:rFonts w:hint="eastAsia" w:ascii="仿宋" w:hAnsi="仿宋" w:eastAsia="仿宋" w:cs="仿宋"/>
          <w:b/>
          <w:sz w:val="28"/>
          <w:szCs w:val="28"/>
          <w:lang w:val="en-US" w:eastAsia="zh-CN"/>
        </w:rPr>
        <w:t>2</w:t>
      </w:r>
      <w:r>
        <w:rPr>
          <w:rFonts w:hint="eastAsia" w:ascii="仿宋" w:hAnsi="仿宋" w:eastAsia="仿宋" w:cs="仿宋"/>
          <w:b/>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_Toc6534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（一）农业经济稳步增长</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_Toc23090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（二）第二产业转负为正</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_Toc9890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（三）第三产业降幅缩小</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_Toc22059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（四）</w:t>
      </w:r>
      <w:r>
        <w:rPr>
          <w:rFonts w:hint="eastAsia" w:ascii="仿宋" w:hAnsi="仿宋" w:eastAsia="仿宋" w:cs="仿宋"/>
          <w:sz w:val="28"/>
          <w:szCs w:val="28"/>
        </w:rPr>
        <w:t>二季度固定资产投资明显加快</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_Toc2163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（五）市场消费恢复缓慢</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_Toc28830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（六）居民收入增长平稳</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7"/>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_Toc13830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（七）财政收入同比回落，金融信贷市场活跃</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_Toc15169 </w:instrText>
      </w:r>
      <w:r>
        <w:rPr>
          <w:rFonts w:hint="eastAsia" w:ascii="仿宋" w:hAnsi="仿宋" w:eastAsia="仿宋" w:cs="仿宋"/>
          <w:b/>
          <w:sz w:val="28"/>
          <w:szCs w:val="28"/>
        </w:rPr>
        <w:fldChar w:fldCharType="separate"/>
      </w:r>
      <w:r>
        <w:rPr>
          <w:rFonts w:hint="eastAsia" w:ascii="仿宋" w:hAnsi="仿宋" w:eastAsia="仿宋" w:cs="仿宋"/>
          <w:b/>
          <w:sz w:val="28"/>
          <w:szCs w:val="28"/>
          <w:lang w:val="en-US" w:eastAsia="zh-CN"/>
        </w:rPr>
        <w:t>三、 经济稳增长存在薄弱环节</w:t>
      </w:r>
      <w:r>
        <w:rPr>
          <w:rFonts w:hint="eastAsia" w:ascii="仿宋" w:hAnsi="仿宋" w:eastAsia="仿宋" w:cs="仿宋"/>
          <w:b/>
          <w:sz w:val="28"/>
          <w:szCs w:val="28"/>
        </w:rPr>
        <w:tab/>
      </w:r>
      <w:r>
        <w:rPr>
          <w:rFonts w:hint="eastAsia" w:ascii="仿宋" w:hAnsi="仿宋" w:eastAsia="仿宋" w:cs="仿宋"/>
          <w:b/>
          <w:sz w:val="28"/>
          <w:szCs w:val="28"/>
          <w:lang w:val="en-US" w:eastAsia="zh-CN"/>
        </w:rPr>
        <w:t>6</w:t>
      </w:r>
      <w:r>
        <w:rPr>
          <w:rFonts w:hint="eastAsia" w:ascii="仿宋" w:hAnsi="仿宋" w:eastAsia="仿宋" w:cs="仿宋"/>
          <w:b/>
          <w:sz w:val="28"/>
          <w:szCs w:val="28"/>
        </w:rPr>
        <w:fldChar w:fldCharType="end"/>
      </w:r>
    </w:p>
    <w:p>
      <w:pPr>
        <w:pStyle w:val="6"/>
        <w:tabs>
          <w:tab w:val="right" w:leader="dot" w:pos="8306"/>
        </w:tabs>
        <w:rPr>
          <w:rFonts w:hint="eastAsia" w:ascii="仿宋" w:hAnsi="仿宋" w:eastAsia="仿宋" w:cs="仿宋"/>
          <w:b/>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HYPERLINK \l _Toc32170 </w:instrText>
      </w:r>
      <w:r>
        <w:rPr>
          <w:rFonts w:hint="eastAsia" w:ascii="仿宋" w:hAnsi="仿宋" w:eastAsia="仿宋" w:cs="仿宋"/>
          <w:b/>
          <w:sz w:val="28"/>
          <w:szCs w:val="28"/>
        </w:rPr>
        <w:fldChar w:fldCharType="separate"/>
      </w:r>
      <w:r>
        <w:rPr>
          <w:rFonts w:hint="eastAsia" w:ascii="仿宋" w:hAnsi="仿宋" w:eastAsia="仿宋" w:cs="仿宋"/>
          <w:b/>
          <w:sz w:val="28"/>
          <w:szCs w:val="28"/>
          <w:lang w:val="en-US" w:eastAsia="zh-CN"/>
        </w:rPr>
        <w:t>四、 对策及建议</w:t>
      </w:r>
      <w:r>
        <w:rPr>
          <w:rFonts w:hint="eastAsia" w:ascii="仿宋" w:hAnsi="仿宋" w:eastAsia="仿宋" w:cs="仿宋"/>
          <w:b/>
          <w:sz w:val="28"/>
          <w:szCs w:val="28"/>
        </w:rPr>
        <w:tab/>
      </w:r>
      <w:r>
        <w:rPr>
          <w:rFonts w:hint="eastAsia" w:ascii="仿宋" w:hAnsi="仿宋" w:eastAsia="仿宋" w:cs="仿宋"/>
          <w:b/>
          <w:sz w:val="28"/>
          <w:szCs w:val="28"/>
          <w:lang w:val="en-US" w:eastAsia="zh-CN"/>
        </w:rPr>
        <w:t>6</w:t>
      </w:r>
      <w:r>
        <w:rPr>
          <w:rFonts w:hint="eastAsia" w:ascii="仿宋" w:hAnsi="仿宋" w:eastAsia="仿宋" w:cs="仿宋"/>
          <w:b/>
          <w:sz w:val="28"/>
          <w:szCs w:val="28"/>
        </w:rPr>
        <w:fldChar w:fldCharType="end"/>
      </w:r>
    </w:p>
    <w:p>
      <w:pPr>
        <w:pStyle w:val="6"/>
        <w:tabs>
          <w:tab w:val="right" w:leader="dot" w:pos="8306"/>
        </w:tabs>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三江县2020年1-</w:t>
      </w:r>
      <w:r>
        <w:rPr>
          <w:rFonts w:hint="eastAsia" w:ascii="仿宋" w:hAnsi="仿宋" w:eastAsia="仿宋" w:cs="仿宋"/>
          <w:b/>
          <w:sz w:val="28"/>
          <w:szCs w:val="28"/>
          <w:lang w:val="en-US" w:eastAsia="zh-CN"/>
        </w:rPr>
        <w:t>6</w:t>
      </w:r>
      <w:r>
        <w:rPr>
          <w:rFonts w:hint="eastAsia" w:ascii="仿宋" w:hAnsi="仿宋" w:eastAsia="仿宋" w:cs="仿宋"/>
          <w:b/>
          <w:sz w:val="28"/>
          <w:szCs w:val="28"/>
          <w:lang w:eastAsia="zh-CN"/>
        </w:rPr>
        <w:t>月综合经济指标</w:t>
      </w:r>
      <w:r>
        <w:rPr>
          <w:rFonts w:hint="eastAsia" w:ascii="仿宋" w:hAnsi="仿宋" w:eastAsia="仿宋" w:cs="仿宋"/>
          <w:b/>
          <w:sz w:val="28"/>
          <w:szCs w:val="28"/>
        </w:rPr>
        <w:tab/>
      </w:r>
      <w:r>
        <w:rPr>
          <w:rFonts w:hint="eastAsia" w:ascii="仿宋" w:hAnsi="仿宋" w:eastAsia="仿宋" w:cs="仿宋"/>
          <w:b/>
          <w:sz w:val="28"/>
          <w:szCs w:val="28"/>
          <w:lang w:val="en-US" w:eastAsia="zh-CN"/>
        </w:rPr>
        <w:t>9</w:t>
      </w:r>
    </w:p>
    <w:p>
      <w:pPr>
        <w:rPr>
          <w:rFonts w:hint="eastAsia"/>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b/>
          <w:sz w:val="28"/>
          <w:szCs w:val="28"/>
        </w:rPr>
        <w:fldChar w:fldCharType="end"/>
      </w:r>
      <w:bookmarkStart w:id="0" w:name="_Toc10495"/>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outlineLvl w:val="0"/>
        <w:rPr>
          <w:rFonts w:hint="eastAsia"/>
          <w:sz w:val="32"/>
          <w:szCs w:val="32"/>
          <w:lang w:val="en-US" w:eastAsia="zh-CN"/>
        </w:rPr>
      </w:pPr>
      <w:r>
        <w:rPr>
          <w:rFonts w:hint="eastAsia"/>
          <w:sz w:val="32"/>
          <w:szCs w:val="32"/>
          <w:lang w:val="en-US" w:eastAsia="zh-CN"/>
        </w:rPr>
        <w:t>三江县2020年上半年国民经济由负转正 稳步复苏</w:t>
      </w:r>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今年上半年，受新冠肺炎疫情影响，各行各业延期复工，二季度各行业逐步复工，三江县各项经济指标恢复性增长，上半年经济增速实现由负转正，大多数指标不同程度回升，呈现稳中向好态势。</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根据地区生产总值统一核算结果，上半年三江县实现地区生产总值33.87亿元，按可比价计算，同比增长5.7%，比一季度提高16.7%。分产业看，第一产业实现增加值6.53亿元，同比增长3.1%，第二产业实现增加值7.64亿元，同比增长28.5%，第三产业实现增加值19.7亿元，同比下降0.2%。</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outlineLvl w:val="0"/>
        <w:rPr>
          <w:rFonts w:hint="eastAsia"/>
          <w:sz w:val="28"/>
          <w:szCs w:val="28"/>
          <w:lang w:val="en-US" w:eastAsia="zh-CN"/>
        </w:rPr>
      </w:pPr>
      <w:bookmarkStart w:id="1" w:name="_Toc8530"/>
      <w:r>
        <w:rPr>
          <w:rFonts w:hint="eastAsia"/>
          <w:sz w:val="28"/>
          <w:szCs w:val="28"/>
          <w:lang w:val="en-US" w:eastAsia="zh-CN"/>
        </w:rPr>
        <w:t>三江县上半年国民经济主要指标完成情况</w:t>
      </w:r>
      <w:bookmarkEnd w:id="1"/>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default"/>
          <w:sz w:val="28"/>
          <w:szCs w:val="28"/>
          <w:lang w:val="en-US" w:eastAsia="zh-CN"/>
        </w:rPr>
        <w:t>地区生产总值（GD</w:t>
      </w:r>
      <w:r>
        <w:rPr>
          <w:rFonts w:hint="eastAsia"/>
          <w:sz w:val="28"/>
          <w:szCs w:val="28"/>
          <w:lang w:val="en-US" w:eastAsia="zh-CN"/>
        </w:rPr>
        <w:t>P</w:t>
      </w:r>
      <w:r>
        <w:rPr>
          <w:rFonts w:hint="default"/>
          <w:sz w:val="28"/>
          <w:szCs w:val="28"/>
          <w:lang w:val="en-US" w:eastAsia="zh-CN"/>
        </w:rPr>
        <w:t>）：</w:t>
      </w:r>
      <w:r>
        <w:rPr>
          <w:rFonts w:hint="eastAsia"/>
          <w:sz w:val="28"/>
          <w:szCs w:val="28"/>
          <w:lang w:val="en-US" w:eastAsia="zh-CN"/>
        </w:rPr>
        <w:t>33.87</w:t>
      </w:r>
      <w:r>
        <w:rPr>
          <w:rFonts w:hint="default"/>
          <w:sz w:val="28"/>
          <w:szCs w:val="28"/>
          <w:lang w:val="en-US" w:eastAsia="zh-CN"/>
        </w:rPr>
        <w:t>亿元，按可比价计算，同比增长</w:t>
      </w:r>
      <w:r>
        <w:rPr>
          <w:rFonts w:hint="eastAsia"/>
          <w:sz w:val="28"/>
          <w:szCs w:val="28"/>
          <w:lang w:val="en-US" w:eastAsia="zh-CN"/>
        </w:rPr>
        <w:t>5.7</w:t>
      </w:r>
      <w:r>
        <w:rPr>
          <w:rFonts w:hint="default"/>
          <w:sz w:val="28"/>
          <w:szCs w:val="28"/>
          <w:lang w:val="en-US" w:eastAsia="zh-CN"/>
        </w:rPr>
        <w:t>%，增速比年度8%的预期目标</w:t>
      </w:r>
      <w:r>
        <w:rPr>
          <w:rFonts w:hint="eastAsia"/>
          <w:sz w:val="28"/>
          <w:szCs w:val="28"/>
          <w:lang w:val="en-US" w:eastAsia="zh-CN"/>
        </w:rPr>
        <w:t>低2.3</w:t>
      </w:r>
      <w:r>
        <w:rPr>
          <w:rFonts w:hint="default"/>
          <w:sz w:val="28"/>
          <w:szCs w:val="28"/>
          <w:lang w:val="en-US" w:eastAsia="zh-CN"/>
        </w:rPr>
        <w:t xml:space="preserve">个百分点；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第一产业：6.53亿元，</w:t>
      </w:r>
      <w:r>
        <w:rPr>
          <w:rFonts w:hint="default"/>
          <w:sz w:val="28"/>
          <w:szCs w:val="28"/>
          <w:lang w:val="en-US" w:eastAsia="zh-CN"/>
        </w:rPr>
        <w:t>按可比价计算，同比增长</w:t>
      </w:r>
      <w:r>
        <w:rPr>
          <w:rFonts w:hint="eastAsia"/>
          <w:sz w:val="28"/>
          <w:szCs w:val="28"/>
          <w:lang w:val="en-US" w:eastAsia="zh-CN"/>
        </w:rPr>
        <w:t>3.1%，</w:t>
      </w:r>
      <w:r>
        <w:rPr>
          <w:rFonts w:hint="default"/>
          <w:sz w:val="28"/>
          <w:szCs w:val="28"/>
          <w:lang w:val="en-US" w:eastAsia="zh-CN"/>
        </w:rPr>
        <w:t>增速比年度</w:t>
      </w:r>
      <w:r>
        <w:rPr>
          <w:rFonts w:hint="eastAsia"/>
          <w:sz w:val="28"/>
          <w:szCs w:val="28"/>
          <w:lang w:val="en-US" w:eastAsia="zh-CN"/>
        </w:rPr>
        <w:t>5</w:t>
      </w:r>
      <w:r>
        <w:rPr>
          <w:rFonts w:hint="default"/>
          <w:sz w:val="28"/>
          <w:szCs w:val="28"/>
          <w:lang w:val="en-US" w:eastAsia="zh-CN"/>
        </w:rPr>
        <w:t>%的预期目标</w:t>
      </w:r>
      <w:r>
        <w:rPr>
          <w:rFonts w:hint="eastAsia"/>
          <w:sz w:val="28"/>
          <w:szCs w:val="28"/>
          <w:lang w:val="en-US" w:eastAsia="zh-CN"/>
        </w:rPr>
        <w:t>低1.9</w:t>
      </w:r>
      <w:r>
        <w:rPr>
          <w:rFonts w:hint="default"/>
          <w:sz w:val="28"/>
          <w:szCs w:val="28"/>
          <w:lang w:val="en-US" w:eastAsia="zh-CN"/>
        </w:rPr>
        <w:t>个百分点</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第二产业：7.64亿元，</w:t>
      </w:r>
      <w:r>
        <w:rPr>
          <w:rFonts w:hint="default"/>
          <w:sz w:val="28"/>
          <w:szCs w:val="28"/>
          <w:lang w:val="en-US" w:eastAsia="zh-CN"/>
        </w:rPr>
        <w:t>按可比价计算，同比增长</w:t>
      </w:r>
      <w:r>
        <w:rPr>
          <w:rFonts w:hint="eastAsia"/>
          <w:sz w:val="28"/>
          <w:szCs w:val="28"/>
          <w:lang w:val="en-US" w:eastAsia="zh-CN"/>
        </w:rPr>
        <w:t>28.5%，</w:t>
      </w:r>
      <w:r>
        <w:rPr>
          <w:rFonts w:hint="default"/>
          <w:sz w:val="28"/>
          <w:szCs w:val="28"/>
          <w:lang w:val="en-US" w:eastAsia="zh-CN"/>
        </w:rPr>
        <w:t>增速比年度</w:t>
      </w:r>
      <w:r>
        <w:rPr>
          <w:rFonts w:hint="eastAsia"/>
          <w:sz w:val="28"/>
          <w:szCs w:val="28"/>
          <w:lang w:val="en-US" w:eastAsia="zh-CN"/>
        </w:rPr>
        <w:t>10</w:t>
      </w:r>
      <w:r>
        <w:rPr>
          <w:rFonts w:hint="default"/>
          <w:sz w:val="28"/>
          <w:szCs w:val="28"/>
          <w:lang w:val="en-US" w:eastAsia="zh-CN"/>
        </w:rPr>
        <w:t>%的预期目标</w:t>
      </w:r>
      <w:r>
        <w:rPr>
          <w:rFonts w:hint="eastAsia"/>
          <w:sz w:val="28"/>
          <w:szCs w:val="28"/>
          <w:lang w:val="en-US" w:eastAsia="zh-CN"/>
        </w:rPr>
        <w:t>高18.5</w:t>
      </w:r>
      <w:r>
        <w:rPr>
          <w:rFonts w:hint="default"/>
          <w:sz w:val="28"/>
          <w:szCs w:val="28"/>
          <w:lang w:val="en-US" w:eastAsia="zh-CN"/>
        </w:rPr>
        <w:t>个百分点</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工  业：3.66亿元，</w:t>
      </w:r>
      <w:r>
        <w:rPr>
          <w:rFonts w:hint="default"/>
          <w:sz w:val="28"/>
          <w:szCs w:val="28"/>
          <w:lang w:val="en-US" w:eastAsia="zh-CN"/>
        </w:rPr>
        <w:t>按可比价计算，同比增长</w:t>
      </w:r>
      <w:r>
        <w:rPr>
          <w:rFonts w:hint="eastAsia"/>
          <w:sz w:val="28"/>
          <w:szCs w:val="28"/>
          <w:lang w:val="en-US" w:eastAsia="zh-CN"/>
        </w:rPr>
        <w:t>2.8%；</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建筑业：4.04亿元，</w:t>
      </w:r>
      <w:r>
        <w:rPr>
          <w:rFonts w:hint="default"/>
          <w:sz w:val="28"/>
          <w:szCs w:val="28"/>
          <w:lang w:val="en-US" w:eastAsia="zh-CN"/>
        </w:rPr>
        <w:t>按可比价计算，同比增长</w:t>
      </w:r>
      <w:r>
        <w:rPr>
          <w:rFonts w:hint="eastAsia"/>
          <w:sz w:val="28"/>
          <w:szCs w:val="28"/>
          <w:lang w:val="en-US" w:eastAsia="zh-CN"/>
        </w:rPr>
        <w:t>69.6%；</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第三产业：19.7亿元，</w:t>
      </w:r>
      <w:r>
        <w:rPr>
          <w:rFonts w:hint="default"/>
          <w:sz w:val="28"/>
          <w:szCs w:val="28"/>
          <w:lang w:val="en-US" w:eastAsia="zh-CN"/>
        </w:rPr>
        <w:t>按可比价计算，同比</w:t>
      </w:r>
      <w:r>
        <w:rPr>
          <w:rFonts w:hint="eastAsia"/>
          <w:sz w:val="28"/>
          <w:szCs w:val="28"/>
          <w:lang w:val="en-US" w:eastAsia="zh-CN"/>
        </w:rPr>
        <w:t>下降0.2%，</w:t>
      </w:r>
      <w:r>
        <w:rPr>
          <w:rFonts w:hint="default"/>
          <w:sz w:val="28"/>
          <w:szCs w:val="28"/>
          <w:lang w:val="en-US" w:eastAsia="zh-CN"/>
        </w:rPr>
        <w:t>增速比年度</w:t>
      </w:r>
      <w:r>
        <w:rPr>
          <w:rFonts w:hint="eastAsia"/>
          <w:sz w:val="28"/>
          <w:szCs w:val="28"/>
          <w:lang w:val="en-US" w:eastAsia="zh-CN"/>
        </w:rPr>
        <w:t>12</w:t>
      </w:r>
      <w:r>
        <w:rPr>
          <w:rFonts w:hint="default"/>
          <w:sz w:val="28"/>
          <w:szCs w:val="28"/>
          <w:lang w:val="en-US" w:eastAsia="zh-CN"/>
        </w:rPr>
        <w:t>%的预期目标</w:t>
      </w:r>
      <w:r>
        <w:rPr>
          <w:rFonts w:hint="eastAsia"/>
          <w:sz w:val="28"/>
          <w:szCs w:val="28"/>
          <w:lang w:val="en-US" w:eastAsia="zh-CN"/>
        </w:rPr>
        <w:t>低12.2</w:t>
      </w:r>
      <w:r>
        <w:rPr>
          <w:rFonts w:hint="default"/>
          <w:sz w:val="28"/>
          <w:szCs w:val="28"/>
          <w:lang w:val="en-US" w:eastAsia="zh-CN"/>
        </w:rPr>
        <w:t>个百分点</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default"/>
          <w:sz w:val="28"/>
          <w:szCs w:val="28"/>
          <w:lang w:val="en-US" w:eastAsia="zh-CN"/>
        </w:rPr>
        <w:t>固定资产投资：同比增长</w:t>
      </w:r>
      <w:r>
        <w:rPr>
          <w:rFonts w:hint="eastAsia"/>
          <w:sz w:val="28"/>
          <w:szCs w:val="28"/>
          <w:lang w:val="en-US" w:eastAsia="zh-CN"/>
        </w:rPr>
        <w:t>53.7</w:t>
      </w:r>
      <w:r>
        <w:rPr>
          <w:rFonts w:hint="default"/>
          <w:sz w:val="28"/>
          <w:szCs w:val="28"/>
          <w:lang w:val="en-US" w:eastAsia="zh-CN"/>
        </w:rPr>
        <w:t>%，增速比年度1</w:t>
      </w:r>
      <w:r>
        <w:rPr>
          <w:rFonts w:hint="eastAsia"/>
          <w:sz w:val="28"/>
          <w:szCs w:val="28"/>
          <w:lang w:val="en-US" w:eastAsia="zh-CN"/>
        </w:rPr>
        <w:t>2</w:t>
      </w:r>
      <w:r>
        <w:rPr>
          <w:rFonts w:hint="default"/>
          <w:sz w:val="28"/>
          <w:szCs w:val="28"/>
          <w:lang w:val="en-US" w:eastAsia="zh-CN"/>
        </w:rPr>
        <w:t>%的预期目标高</w:t>
      </w:r>
      <w:r>
        <w:rPr>
          <w:rFonts w:hint="eastAsia"/>
          <w:sz w:val="28"/>
          <w:szCs w:val="28"/>
          <w:lang w:val="en-US" w:eastAsia="zh-CN"/>
        </w:rPr>
        <w:t>41.7</w:t>
      </w:r>
      <w:r>
        <w:rPr>
          <w:rFonts w:hint="default"/>
          <w:sz w:val="28"/>
          <w:szCs w:val="28"/>
          <w:lang w:val="en-US" w:eastAsia="zh-CN"/>
        </w:rPr>
        <w:t>个百分点；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color w:val="auto"/>
          <w:sz w:val="28"/>
          <w:szCs w:val="28"/>
          <w:lang w:val="en-US" w:eastAsia="zh-CN"/>
        </w:rPr>
      </w:pPr>
      <w:r>
        <w:rPr>
          <w:rFonts w:hint="default"/>
          <w:color w:val="auto"/>
          <w:sz w:val="28"/>
          <w:szCs w:val="28"/>
          <w:lang w:val="en-US" w:eastAsia="zh-CN"/>
        </w:rPr>
        <w:t>社会消费品零售总额：</w:t>
      </w:r>
      <w:r>
        <w:rPr>
          <w:rFonts w:hint="eastAsia"/>
          <w:color w:val="auto"/>
          <w:sz w:val="28"/>
          <w:szCs w:val="28"/>
          <w:lang w:val="en-US" w:eastAsia="zh-CN"/>
        </w:rPr>
        <w:t>11.54</w:t>
      </w:r>
      <w:r>
        <w:rPr>
          <w:rFonts w:hint="default"/>
          <w:color w:val="auto"/>
          <w:sz w:val="28"/>
          <w:szCs w:val="28"/>
          <w:lang w:val="en-US" w:eastAsia="zh-CN"/>
        </w:rPr>
        <w:t>亿元，同比</w:t>
      </w:r>
      <w:r>
        <w:rPr>
          <w:rFonts w:hint="eastAsia"/>
          <w:color w:val="auto"/>
          <w:sz w:val="28"/>
          <w:szCs w:val="28"/>
          <w:lang w:val="en-US" w:eastAsia="zh-CN"/>
        </w:rPr>
        <w:t>下降4.9</w:t>
      </w:r>
      <w:r>
        <w:rPr>
          <w:rFonts w:hint="default"/>
          <w:color w:val="auto"/>
          <w:sz w:val="28"/>
          <w:szCs w:val="28"/>
          <w:lang w:val="en-US" w:eastAsia="zh-CN"/>
        </w:rPr>
        <w:t>%，增速比年度1</w:t>
      </w:r>
      <w:r>
        <w:rPr>
          <w:rFonts w:hint="eastAsia"/>
          <w:color w:val="auto"/>
          <w:sz w:val="28"/>
          <w:szCs w:val="28"/>
          <w:lang w:val="en-US" w:eastAsia="zh-CN"/>
        </w:rPr>
        <w:t>0</w:t>
      </w:r>
      <w:r>
        <w:rPr>
          <w:rFonts w:hint="default"/>
          <w:color w:val="auto"/>
          <w:sz w:val="28"/>
          <w:szCs w:val="28"/>
          <w:lang w:val="en-US" w:eastAsia="zh-CN"/>
        </w:rPr>
        <w:t>%的预期目标</w:t>
      </w:r>
      <w:r>
        <w:rPr>
          <w:rFonts w:hint="eastAsia"/>
          <w:color w:val="auto"/>
          <w:sz w:val="28"/>
          <w:szCs w:val="28"/>
          <w:lang w:val="en-US" w:eastAsia="zh-CN"/>
        </w:rPr>
        <w:t>低14.9</w:t>
      </w:r>
      <w:r>
        <w:rPr>
          <w:rFonts w:hint="default"/>
          <w:color w:val="auto"/>
          <w:sz w:val="28"/>
          <w:szCs w:val="28"/>
          <w:lang w:val="en-US" w:eastAsia="zh-CN"/>
        </w:rPr>
        <w:t>个百分点；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color w:val="auto"/>
          <w:sz w:val="28"/>
          <w:szCs w:val="28"/>
          <w:lang w:val="en-US" w:eastAsia="zh-CN"/>
        </w:rPr>
      </w:pPr>
      <w:r>
        <w:rPr>
          <w:rFonts w:hint="default"/>
          <w:color w:val="auto"/>
          <w:sz w:val="28"/>
          <w:szCs w:val="28"/>
          <w:lang w:val="en-US" w:eastAsia="zh-CN"/>
        </w:rPr>
        <w:t>城镇居民人均可支配收入：</w:t>
      </w:r>
      <w:r>
        <w:rPr>
          <w:rFonts w:hint="eastAsia"/>
          <w:color w:val="auto"/>
          <w:sz w:val="28"/>
          <w:szCs w:val="28"/>
          <w:lang w:val="en-US" w:eastAsia="zh-CN"/>
        </w:rPr>
        <w:t>15379</w:t>
      </w:r>
      <w:r>
        <w:rPr>
          <w:rFonts w:hint="default"/>
          <w:color w:val="auto"/>
          <w:sz w:val="28"/>
          <w:szCs w:val="28"/>
          <w:lang w:val="en-US" w:eastAsia="zh-CN"/>
        </w:rPr>
        <w:t>元，同比增长</w:t>
      </w:r>
      <w:r>
        <w:rPr>
          <w:rFonts w:hint="eastAsia"/>
          <w:color w:val="auto"/>
          <w:sz w:val="28"/>
          <w:szCs w:val="28"/>
          <w:lang w:val="en-US" w:eastAsia="zh-CN"/>
        </w:rPr>
        <w:t>0.7</w:t>
      </w:r>
      <w:r>
        <w:rPr>
          <w:rFonts w:hint="default"/>
          <w:color w:val="auto"/>
          <w:sz w:val="28"/>
          <w:szCs w:val="28"/>
          <w:lang w:val="en-US" w:eastAsia="zh-CN"/>
        </w:rPr>
        <w:t>%，增速比年度</w:t>
      </w:r>
      <w:r>
        <w:rPr>
          <w:rFonts w:hint="eastAsia"/>
          <w:color w:val="auto"/>
          <w:sz w:val="28"/>
          <w:szCs w:val="28"/>
          <w:lang w:val="en-US" w:eastAsia="zh-CN"/>
        </w:rPr>
        <w:t>8</w:t>
      </w:r>
      <w:r>
        <w:rPr>
          <w:rFonts w:hint="default"/>
          <w:color w:val="auto"/>
          <w:sz w:val="28"/>
          <w:szCs w:val="28"/>
          <w:lang w:val="en-US" w:eastAsia="zh-CN"/>
        </w:rPr>
        <w:t>%的预期目标低</w:t>
      </w:r>
      <w:r>
        <w:rPr>
          <w:rFonts w:hint="eastAsia"/>
          <w:color w:val="auto"/>
          <w:sz w:val="28"/>
          <w:szCs w:val="28"/>
          <w:lang w:val="en-US" w:eastAsia="zh-CN"/>
        </w:rPr>
        <w:t>7.3</w:t>
      </w:r>
      <w:r>
        <w:rPr>
          <w:rFonts w:hint="default"/>
          <w:color w:val="auto"/>
          <w:sz w:val="28"/>
          <w:szCs w:val="28"/>
          <w:lang w:val="en-US" w:eastAsia="zh-CN"/>
        </w:rPr>
        <w:t>个百分点；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color w:val="auto"/>
          <w:sz w:val="28"/>
          <w:szCs w:val="28"/>
          <w:lang w:val="en-US" w:eastAsia="zh-CN"/>
        </w:rPr>
      </w:pPr>
      <w:r>
        <w:rPr>
          <w:rFonts w:hint="default"/>
          <w:color w:val="auto"/>
          <w:sz w:val="28"/>
          <w:szCs w:val="28"/>
          <w:lang w:val="en-US" w:eastAsia="zh-CN"/>
        </w:rPr>
        <w:t>农村居民人均可支配收入：</w:t>
      </w:r>
      <w:r>
        <w:rPr>
          <w:rFonts w:hint="eastAsia"/>
          <w:color w:val="auto"/>
          <w:sz w:val="28"/>
          <w:szCs w:val="28"/>
          <w:lang w:val="en-US" w:eastAsia="zh-CN"/>
        </w:rPr>
        <w:t>4686</w:t>
      </w:r>
      <w:r>
        <w:rPr>
          <w:rFonts w:hint="default"/>
          <w:color w:val="auto"/>
          <w:sz w:val="28"/>
          <w:szCs w:val="28"/>
          <w:lang w:val="en-US" w:eastAsia="zh-CN"/>
        </w:rPr>
        <w:t>元，同比增长</w:t>
      </w:r>
      <w:r>
        <w:rPr>
          <w:rFonts w:hint="eastAsia"/>
          <w:color w:val="auto"/>
          <w:sz w:val="28"/>
          <w:szCs w:val="28"/>
          <w:lang w:val="en-US" w:eastAsia="zh-CN"/>
        </w:rPr>
        <w:t>6.3</w:t>
      </w:r>
      <w:r>
        <w:rPr>
          <w:rFonts w:hint="default"/>
          <w:color w:val="auto"/>
          <w:sz w:val="28"/>
          <w:szCs w:val="28"/>
          <w:lang w:val="en-US" w:eastAsia="zh-CN"/>
        </w:rPr>
        <w:t>%，增速比年度11%的预期目标</w:t>
      </w:r>
      <w:r>
        <w:rPr>
          <w:rFonts w:hint="eastAsia"/>
          <w:color w:val="auto"/>
          <w:sz w:val="28"/>
          <w:szCs w:val="28"/>
          <w:lang w:val="en-US" w:eastAsia="zh-CN"/>
        </w:rPr>
        <w:t>低4.7</w:t>
      </w:r>
      <w:r>
        <w:rPr>
          <w:rFonts w:hint="default"/>
          <w:color w:val="auto"/>
          <w:sz w:val="28"/>
          <w:szCs w:val="28"/>
          <w:lang w:val="en-US" w:eastAsia="zh-CN"/>
        </w:rPr>
        <w:t>个百分点。</w:t>
      </w:r>
    </w:p>
    <w:p>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jc w:val="both"/>
        <w:textAlignment w:val="auto"/>
        <w:outlineLvl w:val="1"/>
        <w:rPr>
          <w:rFonts w:hint="eastAsia"/>
          <w:sz w:val="28"/>
          <w:szCs w:val="28"/>
          <w:lang w:val="en-US" w:eastAsia="zh-CN"/>
        </w:rPr>
      </w:pPr>
      <w:bookmarkStart w:id="2" w:name="_Toc6534"/>
      <w:r>
        <w:rPr>
          <w:rFonts w:hint="eastAsia"/>
          <w:sz w:val="28"/>
          <w:szCs w:val="28"/>
          <w:lang w:val="en-US" w:eastAsia="zh-CN"/>
        </w:rPr>
        <w:t>二、</w:t>
      </w:r>
      <w:r>
        <w:rPr>
          <w:rFonts w:hint="default"/>
          <w:sz w:val="28"/>
          <w:szCs w:val="28"/>
          <w:lang w:val="en-US" w:eastAsia="zh-CN"/>
        </w:rPr>
        <w:t>三江县上半年国民经济运行的基本情况</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outlineLvl w:val="1"/>
        <w:rPr>
          <w:rFonts w:hint="eastAsia"/>
          <w:sz w:val="28"/>
          <w:szCs w:val="28"/>
          <w:lang w:val="en-US" w:eastAsia="zh-CN"/>
        </w:rPr>
      </w:pPr>
      <w:r>
        <w:rPr>
          <w:rFonts w:hint="eastAsia"/>
          <w:sz w:val="28"/>
          <w:szCs w:val="28"/>
          <w:lang w:val="en-US" w:eastAsia="zh-CN"/>
        </w:rPr>
        <w:t>农业经济稳步增长。上半年农林牧渔业总产值实现15.49亿元，同比增长3.1%</w:t>
      </w:r>
      <w:bookmarkEnd w:id="2"/>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1、农业产值同比增长6%，占农林牧渔业总产值比重69%。上半年农业产值比较单一，主要以茶叶为主，蔬菜为辅，其中茶叶产值占农林牧渔业总产值比重60.8%，占行业比重88.1%；蔬菜产值同比增长1.8%，占农林牧渔业总产值比重5.2%，占行业比重8%。</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color w:val="FF0000"/>
          <w:sz w:val="28"/>
          <w:szCs w:val="28"/>
          <w:lang w:val="en-US" w:eastAsia="zh-CN"/>
        </w:rPr>
      </w:pPr>
      <w:r>
        <w:rPr>
          <w:rFonts w:hint="eastAsia"/>
          <w:sz w:val="28"/>
          <w:szCs w:val="28"/>
          <w:lang w:val="en-US" w:eastAsia="zh-CN"/>
        </w:rPr>
        <w:t>2、林业产值占农林牧渔业比重5.3%，同比下降0.9%，产值下降原因为本年木材受价格因素的影响，导致产值下降，</w:t>
      </w:r>
      <w:r>
        <w:rPr>
          <w:rFonts w:hint="eastAsia"/>
          <w:color w:val="auto"/>
          <w:sz w:val="28"/>
          <w:szCs w:val="28"/>
          <w:lang w:val="en-US" w:eastAsia="zh-CN"/>
        </w:rPr>
        <w:t>上半年木材砍伐量94649立方米，同比增长2.1%，但因今年的价格仅为513元/立方米，比上年600元/立方米价格少87元，所以呈下降趋势。</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3、牧业产值同比下降9%，占农林牧渔业总产值比重21.1%。下降原因仍受2019年度非洲猪瘟疫情影响，不少饲养生猪的养殖户转行饲养肉牛，回升的空间有限。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4、渔业产值同比增长4.6%，占农林牧渔业总产值比重仅1.3%。</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drawing>
          <wp:inline distT="0" distB="0" distL="114300" distR="114300">
            <wp:extent cx="5147310" cy="3619500"/>
            <wp:effectExtent l="4445" t="4445" r="10795" b="14605"/>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outlineLvl w:val="1"/>
        <w:rPr>
          <w:rFonts w:hint="eastAsia"/>
          <w:sz w:val="28"/>
          <w:szCs w:val="28"/>
          <w:lang w:val="en-US" w:eastAsia="zh-CN"/>
        </w:rPr>
      </w:pPr>
      <w:bookmarkStart w:id="3" w:name="_Toc23090"/>
      <w:r>
        <w:rPr>
          <w:rFonts w:hint="eastAsia"/>
          <w:sz w:val="28"/>
          <w:szCs w:val="28"/>
          <w:lang w:val="en-US" w:eastAsia="zh-CN"/>
        </w:rPr>
        <w:t>（二）第二产业上半年转负为正，同比增长28.5%</w:t>
      </w:r>
      <w:bookmarkEnd w:id="3"/>
    </w:p>
    <w:p>
      <w:pPr>
        <w:keepNext w:val="0"/>
        <w:keepLines w:val="0"/>
        <w:pageBreakBefore w:val="0"/>
        <w:widowControl w:val="0"/>
        <w:numPr>
          <w:ilvl w:val="0"/>
          <w:numId w:val="0"/>
        </w:numPr>
        <w:kinsoku/>
        <w:wordWrap/>
        <w:overflowPunct/>
        <w:topLinePunct w:val="0"/>
        <w:autoSpaceDE/>
        <w:autoSpaceDN/>
        <w:bidi w:val="0"/>
        <w:adjustRightInd/>
        <w:snapToGrid/>
        <w:ind w:left="142" w:leftChars="0" w:firstLine="560" w:firstLineChars="200"/>
        <w:jc w:val="both"/>
        <w:textAlignment w:val="auto"/>
        <w:rPr>
          <w:rFonts w:hint="eastAsia"/>
          <w:sz w:val="28"/>
          <w:szCs w:val="28"/>
          <w:lang w:val="en-US" w:eastAsia="zh-CN"/>
        </w:rPr>
      </w:pPr>
      <w:r>
        <w:rPr>
          <w:rFonts w:hint="eastAsia"/>
          <w:sz w:val="28"/>
          <w:szCs w:val="28"/>
          <w:lang w:val="en-US" w:eastAsia="zh-CN"/>
        </w:rPr>
        <w:t>1、工业生产转负为正，制造业实现增长。上半年13家规模以上工业总产值3.59亿元，同比增长16.4%，比一季度增速提高38.7个百分点。制造业同比增长4.2%，比一季度提高22.7个百分点。春茶上市，茶叶加工恢复生产，茶叶加工行业产值高速增长，同比增长96%，拉动全县工业产值23.4个百分点。电力、热力生产和供应业企业洪水暴涨，水轮发电机组水头变低，被迫停机渡汛，不能发电，产值同比下降2.4%。</w:t>
      </w:r>
    </w:p>
    <w:p>
      <w:pPr>
        <w:keepNext w:val="0"/>
        <w:keepLines w:val="0"/>
        <w:pageBreakBefore w:val="0"/>
        <w:widowControl w:val="0"/>
        <w:numPr>
          <w:ilvl w:val="0"/>
          <w:numId w:val="0"/>
        </w:numPr>
        <w:kinsoku/>
        <w:wordWrap/>
        <w:overflowPunct/>
        <w:topLinePunct w:val="0"/>
        <w:autoSpaceDE/>
        <w:autoSpaceDN/>
        <w:bidi w:val="0"/>
        <w:adjustRightInd/>
        <w:snapToGrid/>
        <w:ind w:left="140" w:leftChars="0" w:firstLine="560" w:firstLineChars="200"/>
        <w:jc w:val="both"/>
        <w:textAlignment w:val="auto"/>
        <w:rPr>
          <w:rFonts w:hint="eastAsia"/>
          <w:color w:val="auto"/>
          <w:sz w:val="28"/>
          <w:szCs w:val="28"/>
          <w:lang w:val="en-US" w:eastAsia="zh-CN"/>
        </w:rPr>
      </w:pPr>
      <w:r>
        <w:rPr>
          <w:rFonts w:hint="eastAsia"/>
          <w:sz w:val="28"/>
          <w:szCs w:val="28"/>
          <w:lang w:val="en-US" w:eastAsia="zh-CN"/>
        </w:rPr>
        <w:t>2、建筑业上半年生产提升显著，成为拉动二产发展的主力军。</w:t>
      </w:r>
      <w:r>
        <w:rPr>
          <w:rFonts w:hint="eastAsia"/>
          <w:color w:val="auto"/>
          <w:sz w:val="28"/>
          <w:szCs w:val="28"/>
          <w:lang w:val="en-US" w:eastAsia="zh-CN"/>
        </w:rPr>
        <w:t>上半年三江县建筑业总产值3.66亿元，同比增长122.7%。疫情对建筑业的影响是暂时的，建筑企业2月下旬基本复工，复工复产较快，一季度虽然下降，但二季度实现转正且大幅增长。</w:t>
      </w:r>
    </w:p>
    <w:p>
      <w:pPr>
        <w:keepNext w:val="0"/>
        <w:keepLines w:val="0"/>
        <w:pageBreakBefore w:val="0"/>
        <w:widowControl w:val="0"/>
        <w:numPr>
          <w:ilvl w:val="0"/>
          <w:numId w:val="0"/>
        </w:numPr>
        <w:kinsoku/>
        <w:wordWrap/>
        <w:overflowPunct/>
        <w:topLinePunct w:val="0"/>
        <w:autoSpaceDE/>
        <w:autoSpaceDN/>
        <w:bidi w:val="0"/>
        <w:adjustRightInd/>
        <w:snapToGrid/>
        <w:ind w:left="140" w:leftChars="0" w:firstLine="560" w:firstLineChars="200"/>
        <w:jc w:val="both"/>
        <w:textAlignment w:val="auto"/>
        <w:outlineLvl w:val="1"/>
        <w:rPr>
          <w:rFonts w:hint="default"/>
          <w:sz w:val="28"/>
          <w:szCs w:val="28"/>
          <w:lang w:val="en-US" w:eastAsia="zh-CN"/>
        </w:rPr>
      </w:pPr>
      <w:bookmarkStart w:id="4" w:name="_Toc9890"/>
      <w:r>
        <w:rPr>
          <w:rFonts w:hint="eastAsia"/>
          <w:sz w:val="28"/>
          <w:szCs w:val="28"/>
          <w:lang w:val="en-US" w:eastAsia="zh-CN"/>
        </w:rPr>
        <w:t>（三）第三产业上半年降幅缩小，降幅比一季度收窄</w:t>
      </w:r>
      <w:r>
        <w:rPr>
          <w:rFonts w:hint="default"/>
          <w:sz w:val="28"/>
          <w:szCs w:val="28"/>
          <w:lang w:val="en-US" w:eastAsia="zh-CN"/>
        </w:rPr>
        <w:t>10.3</w:t>
      </w:r>
      <w:r>
        <w:rPr>
          <w:rFonts w:hint="eastAsia"/>
          <w:sz w:val="28"/>
          <w:szCs w:val="28"/>
          <w:lang w:val="en-US" w:eastAsia="zh-CN"/>
        </w:rPr>
        <w:t>个百分点</w:t>
      </w:r>
      <w:bookmarkEnd w:id="4"/>
    </w:p>
    <w:p>
      <w:pPr>
        <w:keepNext w:val="0"/>
        <w:keepLines w:val="0"/>
        <w:pageBreakBefore w:val="0"/>
        <w:widowControl w:val="0"/>
        <w:numPr>
          <w:ilvl w:val="0"/>
          <w:numId w:val="0"/>
        </w:numPr>
        <w:kinsoku/>
        <w:wordWrap/>
        <w:overflowPunct/>
        <w:topLinePunct w:val="0"/>
        <w:autoSpaceDE/>
        <w:autoSpaceDN/>
        <w:bidi w:val="0"/>
        <w:adjustRightInd/>
        <w:snapToGrid/>
        <w:ind w:left="140" w:leftChars="0" w:firstLine="560" w:firstLineChars="200"/>
        <w:jc w:val="both"/>
        <w:textAlignment w:val="auto"/>
        <w:rPr>
          <w:rFonts w:hint="default"/>
          <w:sz w:val="28"/>
          <w:szCs w:val="28"/>
          <w:lang w:val="en-US" w:eastAsia="zh-CN"/>
        </w:rPr>
      </w:pPr>
      <w:r>
        <w:rPr>
          <w:rFonts w:hint="eastAsia"/>
          <w:sz w:val="28"/>
          <w:szCs w:val="28"/>
          <w:lang w:val="en-US" w:eastAsia="zh-CN"/>
        </w:rPr>
        <w:t>1、住宿餐饮行业上半年受疫情影响，旅游业尚未完全恢复活力，节假日对住宿餐饮业的收入提升并不明显，上半年批发和零售业增加值2.88亿元，同比下降2.4%，住宿餐饮业增加值0.44亿元，同比下降45.9%。</w:t>
      </w:r>
    </w:p>
    <w:p>
      <w:pPr>
        <w:keepNext w:val="0"/>
        <w:keepLines w:val="0"/>
        <w:pageBreakBefore w:val="0"/>
        <w:widowControl w:val="0"/>
        <w:numPr>
          <w:ilvl w:val="0"/>
          <w:numId w:val="3"/>
        </w:numPr>
        <w:kinsoku/>
        <w:wordWrap/>
        <w:overflowPunct/>
        <w:topLinePunct w:val="0"/>
        <w:autoSpaceDE/>
        <w:autoSpaceDN/>
        <w:bidi w:val="0"/>
        <w:adjustRightInd/>
        <w:snapToGrid/>
        <w:ind w:left="140" w:leftChars="0" w:firstLine="560" w:firstLineChars="200"/>
        <w:jc w:val="both"/>
        <w:textAlignment w:val="auto"/>
        <w:rPr>
          <w:rFonts w:hint="eastAsia"/>
          <w:sz w:val="28"/>
          <w:szCs w:val="28"/>
          <w:lang w:val="en-US" w:eastAsia="zh-CN"/>
        </w:rPr>
      </w:pPr>
      <w:r>
        <w:rPr>
          <w:rFonts w:hint="eastAsia"/>
          <w:sz w:val="28"/>
          <w:szCs w:val="28"/>
          <w:lang w:val="en-US" w:eastAsia="zh-CN"/>
        </w:rPr>
        <w:t>营利性服务业增势良好。上半年全县营利性服务业增加值1.95亿元，同比增长11.2%。1-5月规模以上服务业营业收入同比下降5.4%，增速较1-2月收窄17个百分点。其中文化艺术业营业收入同比下降0.1%；娱乐业营业收入同比下降51.6%；商务服务业营业收入同比增长17.3%。</w:t>
      </w:r>
    </w:p>
    <w:p>
      <w:pPr>
        <w:ind w:firstLine="560" w:firstLineChars="200"/>
        <w:rPr>
          <w:rFonts w:hint="eastAsia"/>
          <w:sz w:val="28"/>
          <w:szCs w:val="28"/>
          <w:lang w:val="en-US" w:eastAsia="zh-CN"/>
        </w:rPr>
      </w:pPr>
      <w:r>
        <w:rPr>
          <w:rFonts w:hint="eastAsia"/>
          <w:sz w:val="28"/>
          <w:szCs w:val="28"/>
          <w:lang w:val="en-US" w:eastAsia="zh-CN"/>
        </w:rPr>
        <w:t>3、非营利性服务业增速回落。上半年全县非营利性服务业增加值8.53亿元，同比下降0.5%，较一季度下降3.2个百分点。从上半年数据显示，非营利性服务业占第三产业比重43.3%，占GDP比重25.2%，占比较大易拉动行业增长。目前三江县第二季度四上企业和四下抽样调查单位劳动工资七大行业中，科研和水利三江县无调查样本，其余五大行业即：房地产业、文化、教育、卫生、公共管理五大行业，二季度劳动工资统计结果呈三增二减趋势。三增：即房地产行业同比增长5.9%；卫生行业同比增长7.1%；公共管理同比增长15.1%。二减：即文化旅游娱乐业同比下降28.8%；教育同比下降10.6%。</w:t>
      </w:r>
    </w:p>
    <w:p>
      <w:pPr>
        <w:keepNext w:val="0"/>
        <w:keepLines w:val="0"/>
        <w:pageBreakBefore w:val="0"/>
        <w:widowControl w:val="0"/>
        <w:numPr>
          <w:ilvl w:val="0"/>
          <w:numId w:val="0"/>
        </w:numPr>
        <w:kinsoku/>
        <w:wordWrap/>
        <w:overflowPunct/>
        <w:topLinePunct w:val="0"/>
        <w:autoSpaceDE/>
        <w:autoSpaceDN/>
        <w:bidi w:val="0"/>
        <w:adjustRightInd/>
        <w:snapToGrid/>
        <w:ind w:left="140" w:leftChars="0" w:firstLine="560" w:firstLineChars="200"/>
        <w:jc w:val="both"/>
        <w:textAlignment w:val="auto"/>
        <w:rPr>
          <w:rFonts w:hint="default"/>
          <w:sz w:val="28"/>
          <w:szCs w:val="28"/>
          <w:lang w:val="en-US" w:eastAsia="zh-CN"/>
        </w:rPr>
      </w:pPr>
      <w:r>
        <w:rPr>
          <w:rFonts w:hint="eastAsia"/>
          <w:sz w:val="28"/>
          <w:szCs w:val="28"/>
          <w:lang w:val="en-US" w:eastAsia="zh-CN"/>
        </w:rPr>
        <w:t>4、房地产市场稳步上升，销售面积大幅增长。上半年房地产业实现增加值2.25亿元，同比增长15.6%。上半年房地产销售面积均为期房销售，累计销售面积同比增长93.1%。</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1"/>
        <w:rPr>
          <w:rFonts w:hint="eastAsia"/>
          <w:sz w:val="28"/>
          <w:szCs w:val="28"/>
          <w:lang w:eastAsia="zh-CN"/>
        </w:rPr>
      </w:pPr>
      <w:bookmarkStart w:id="5" w:name="_Toc22059"/>
      <w:r>
        <w:rPr>
          <w:rFonts w:hint="eastAsia"/>
          <w:sz w:val="28"/>
          <w:szCs w:val="28"/>
          <w:lang w:eastAsia="zh-CN"/>
        </w:rPr>
        <w:t>（四）</w:t>
      </w:r>
      <w:r>
        <w:rPr>
          <w:rFonts w:hint="eastAsia"/>
          <w:sz w:val="28"/>
          <w:szCs w:val="28"/>
        </w:rPr>
        <w:t>二季度固定资产投资明显加快，</w:t>
      </w:r>
      <w:r>
        <w:rPr>
          <w:rFonts w:hint="eastAsia"/>
          <w:sz w:val="28"/>
          <w:szCs w:val="28"/>
          <w:lang w:eastAsia="zh-CN"/>
        </w:rPr>
        <w:t>呈高速增长趋势</w:t>
      </w:r>
      <w:bookmarkEnd w:id="5"/>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上半年固定资产完成投资同比增长53.7%，比一季度提高47.6个百分点。其中项目完成投资同比增长16.4%（5000万以上项目完成投资同比增长28.4%，5000万以下项目完成投资同比下降35.6%），房地产项目投资同比增长591.8%。</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1"/>
        <w:rPr>
          <w:rFonts w:hint="eastAsia"/>
          <w:sz w:val="28"/>
          <w:szCs w:val="28"/>
          <w:lang w:val="en-US" w:eastAsia="zh-CN"/>
        </w:rPr>
      </w:pPr>
      <w:bookmarkStart w:id="6" w:name="_Toc2163"/>
      <w:r>
        <w:rPr>
          <w:rFonts w:hint="eastAsia"/>
          <w:sz w:val="28"/>
          <w:szCs w:val="28"/>
          <w:lang w:val="en-US" w:eastAsia="zh-CN"/>
        </w:rPr>
        <w:t>（五）市场消费恢复缓慢</w:t>
      </w:r>
      <w:bookmarkEnd w:id="6"/>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sz w:val="28"/>
          <w:szCs w:val="28"/>
          <w:lang w:val="en-US" w:eastAsia="zh-CN"/>
        </w:rPr>
      </w:pPr>
      <w:r>
        <w:rPr>
          <w:rFonts w:hint="eastAsia"/>
          <w:sz w:val="28"/>
          <w:szCs w:val="28"/>
          <w:lang w:val="en-US" w:eastAsia="zh-CN"/>
        </w:rPr>
        <w:t>上半年三江县社会消费品零售总额11.54亿元。同比下降4.9%，降幅比一季度收窄5.3个百分点。按销售单位所在地分，城镇消费品零售额6.82亿元，同比增长9.9%；乡村消费品零售额2.41亿元，同比下降20.4%，城镇消费增速快于乡村消费。按消费形态分，餐饮收入0.59亿元，同比下降40.5%；商品零售5.36亿元，同比下降0.2%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outlineLvl w:val="1"/>
        <w:rPr>
          <w:rFonts w:hint="eastAsia"/>
          <w:sz w:val="28"/>
          <w:szCs w:val="28"/>
          <w:lang w:val="en-US" w:eastAsia="zh-CN"/>
        </w:rPr>
      </w:pPr>
      <w:bookmarkStart w:id="7" w:name="_Toc28830"/>
      <w:r>
        <w:rPr>
          <w:rFonts w:hint="eastAsia"/>
          <w:sz w:val="28"/>
          <w:szCs w:val="28"/>
          <w:lang w:val="en-US" w:eastAsia="zh-CN"/>
        </w:rPr>
        <w:t>（六）居民收入增长平稳</w:t>
      </w:r>
      <w:bookmarkEnd w:id="7"/>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上半年全县城镇居民人均可支配收入15379元，同比增长0.7%；农村居民人均可支配收入4686元，同比增长6.3%，比一季度提高1个百分点。</w:t>
      </w:r>
    </w:p>
    <w:p>
      <w:pPr>
        <w:keepNext w:val="0"/>
        <w:keepLines w:val="0"/>
        <w:pageBreakBefore w:val="0"/>
        <w:widowControl w:val="0"/>
        <w:numPr>
          <w:ilvl w:val="0"/>
          <w:numId w:val="4"/>
        </w:numPr>
        <w:kinsoku/>
        <w:wordWrap/>
        <w:overflowPunct/>
        <w:topLinePunct w:val="0"/>
        <w:autoSpaceDE/>
        <w:autoSpaceDN/>
        <w:bidi w:val="0"/>
        <w:adjustRightInd/>
        <w:snapToGrid/>
        <w:ind w:leftChars="0" w:firstLine="560" w:firstLineChars="200"/>
        <w:jc w:val="both"/>
        <w:textAlignment w:val="auto"/>
        <w:outlineLvl w:val="1"/>
        <w:rPr>
          <w:rFonts w:hint="eastAsia"/>
          <w:sz w:val="28"/>
          <w:szCs w:val="28"/>
          <w:lang w:val="en-US" w:eastAsia="zh-CN"/>
        </w:rPr>
      </w:pPr>
      <w:bookmarkStart w:id="8" w:name="_Toc13830"/>
      <w:r>
        <w:rPr>
          <w:rFonts w:hint="eastAsia"/>
          <w:sz w:val="28"/>
          <w:szCs w:val="28"/>
          <w:lang w:val="en-US" w:eastAsia="zh-CN"/>
        </w:rPr>
        <w:t>财政收入同比回落，金融信贷市场活跃</w:t>
      </w:r>
      <w:bookmarkEnd w:id="8"/>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 xml:space="preserve">上半年，三江县财政收入完成3.37亿元，同比下降11.1%，比一季度回落0.6个百分点。其中，公共财政预算收入2.46亿元，同比下降10.7%；税收收入1.63亿元，同比下降8.8%。公共财政预算支出23.21亿元，同比增长28.6%，比一季度回落1.1个百分点。其中，财政预算支出中八大支出（一般公共服务支出、公共安全支出、教育支出、科学技术支出、社会保障和就业支出、医疗卫生与计划生育支出、节能环保支出、城乡社区支出）11.67亿元，同比下降1.2%。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 xml:space="preserve"> 6月末，三江县金融机构人民币存款余额103.28亿元，同比增长11.1%，比3月末提高15.2个百分点。其中个人存款余额72.95亿元，同比增长15.4%。金融机构人民币贷款余额77.31亿元，同比增长19.7%，比3月末提高31.6个百分点。</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outlineLvl w:val="0"/>
        <w:rPr>
          <w:rFonts w:hint="eastAsia"/>
          <w:sz w:val="28"/>
          <w:szCs w:val="28"/>
          <w:lang w:val="en-US" w:eastAsia="zh-CN"/>
        </w:rPr>
      </w:pPr>
      <w:bookmarkStart w:id="9" w:name="_Toc15169"/>
      <w:r>
        <w:rPr>
          <w:rFonts w:hint="eastAsia"/>
          <w:sz w:val="28"/>
          <w:szCs w:val="28"/>
          <w:lang w:val="en-US" w:eastAsia="zh-CN"/>
        </w:rPr>
        <w:t>三、经济稳增长存在薄弱环节</w:t>
      </w:r>
      <w:bookmarkEnd w:id="9"/>
    </w:p>
    <w:p>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农产品质量和产业化水平仍然不高，支撑农业稳定增长的亮点不多。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2、项目推进仍较慢，后续项目补充不足，规划和储备项目量少，项目招商引资依然薄弱。</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3、服务业</w:t>
      </w:r>
      <w:r>
        <w:rPr>
          <w:rFonts w:hint="default"/>
          <w:sz w:val="28"/>
          <w:szCs w:val="28"/>
          <w:lang w:val="en-US" w:eastAsia="zh-CN"/>
        </w:rPr>
        <w:t>发展动力不足，缺少增量企业支撑，无法形成新的增长点。限上企业培育力度还有待加强，商贸业发展后劲遇到新瓶颈。</w:t>
      </w:r>
    </w:p>
    <w:p>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outlineLvl w:val="0"/>
        <w:rPr>
          <w:rFonts w:hint="eastAsia"/>
          <w:sz w:val="28"/>
          <w:szCs w:val="28"/>
          <w:lang w:val="en-US" w:eastAsia="zh-CN"/>
        </w:rPr>
      </w:pPr>
      <w:bookmarkStart w:id="10" w:name="_Toc32170"/>
      <w:r>
        <w:rPr>
          <w:rFonts w:hint="eastAsia"/>
          <w:sz w:val="28"/>
          <w:szCs w:val="28"/>
          <w:lang w:val="en-US" w:eastAsia="zh-CN"/>
        </w:rPr>
        <w:t>四、对策及建议</w:t>
      </w:r>
      <w:bookmarkEnd w:id="10"/>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1、抓好茶叶、畜牧等农民增收的主导产业生产，着力提升标准规模化种养殖。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ascii="宋体" w:hAnsi="宋体" w:eastAsia="宋体" w:cs="宋体"/>
          <w:b w:val="0"/>
          <w:bCs w:val="0"/>
          <w:sz w:val="28"/>
          <w:szCs w:val="28"/>
          <w:lang w:val="en-US" w:eastAsia="zh-CN"/>
        </w:rPr>
        <w:t>2、加大招商引资力度，加快项目推进</w:t>
      </w:r>
      <w:r>
        <w:rPr>
          <w:rFonts w:hint="eastAsia" w:ascii="宋体" w:hAnsi="宋体" w:eastAsia="宋体" w:cs="宋体"/>
          <w:sz w:val="28"/>
          <w:szCs w:val="28"/>
          <w:lang w:val="en-US" w:eastAsia="zh-CN"/>
        </w:rPr>
        <w:t>。一是要把招商引资、引进新项目作为拉动投资的主要措施，抓住机遇，主动出击，积极对接，加大招商引资力度，谋划和储备一批5000万元以上投资项目，增强大项目投资后劲。二是</w:t>
      </w:r>
      <w:r>
        <w:rPr>
          <w:rFonts w:hint="default"/>
          <w:sz w:val="28"/>
          <w:szCs w:val="28"/>
          <w:lang w:val="en-US" w:eastAsia="zh-CN"/>
        </w:rPr>
        <w:t>有项目的单位（企业）要加强与发改局、统计局的沟通，明确入库要求，及时做好项目入库</w:t>
      </w:r>
      <w:r>
        <w:rPr>
          <w:rFonts w:hint="eastAsia"/>
          <w:sz w:val="28"/>
          <w:szCs w:val="28"/>
          <w:lang w:val="en-US" w:eastAsia="zh-CN"/>
        </w:rPr>
        <w:t>和项目推进</w:t>
      </w:r>
      <w:r>
        <w:rPr>
          <w:rFonts w:hint="default"/>
          <w:sz w:val="28"/>
          <w:szCs w:val="28"/>
          <w:lang w:val="en-US" w:eastAsia="zh-CN"/>
        </w:rPr>
        <w:t>工作，保证项目依法统计、不重不漏。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28"/>
          <w:lang w:val="en-US" w:eastAsia="zh-CN"/>
        </w:rPr>
      </w:pPr>
      <w:r>
        <w:rPr>
          <w:rFonts w:hint="eastAsia"/>
          <w:sz w:val="28"/>
          <w:szCs w:val="28"/>
          <w:lang w:val="en-US" w:eastAsia="zh-CN"/>
        </w:rPr>
        <w:t>3、高度重视各部门（企业）统计规范化建设。目前部门（企业）存在统计员变换频繁或者身兼数职，不能及时、准确上报报表。为确保统计数据准确性、及时性、完整性，建议各部门（企业）要尽快落实设立首席统计员制度，以便统计局做好各项数据对接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4、持续加大力度培育“四上”企业入库工作。上规入统工作仍是推动三江县经济</w:t>
      </w:r>
      <w:r>
        <w:rPr>
          <w:rFonts w:hint="eastAsia" w:ascii="宋体" w:hAnsi="宋体" w:cs="宋体"/>
          <w:b w:val="0"/>
          <w:bCs w:val="0"/>
          <w:sz w:val="28"/>
          <w:szCs w:val="28"/>
          <w:lang w:val="en-US" w:eastAsia="zh-CN"/>
        </w:rPr>
        <w:t>发展</w:t>
      </w:r>
      <w:r>
        <w:rPr>
          <w:rFonts w:hint="eastAsia" w:ascii="宋体" w:hAnsi="宋体" w:eastAsia="宋体" w:cs="宋体"/>
          <w:b w:val="0"/>
          <w:bCs w:val="0"/>
          <w:sz w:val="28"/>
          <w:szCs w:val="28"/>
          <w:lang w:val="en-US" w:eastAsia="zh-CN"/>
        </w:rPr>
        <w:t>的短板，由于在库企业少，规模小，难以全面反映三江县经济实际情况，因此要持续加强上规入统工作力度，出台可行的政策措施，鼓励现有的小企业（个体户）上规模上水平，力争进入限额以上单位行列，为三江县社会经济发展作出贡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上</w:t>
      </w:r>
      <w:r>
        <w:rPr>
          <w:rFonts w:hint="default" w:ascii="宋体" w:hAnsi="宋体" w:eastAsia="宋体" w:cs="宋体"/>
          <w:b w:val="0"/>
          <w:bCs w:val="0"/>
          <w:sz w:val="28"/>
          <w:szCs w:val="28"/>
          <w:lang w:val="en-US" w:eastAsia="zh-CN"/>
        </w:rPr>
        <w:t>半年</w:t>
      </w:r>
      <w:r>
        <w:rPr>
          <w:rFonts w:hint="eastAsia" w:ascii="宋体" w:hAnsi="宋体" w:eastAsia="宋体" w:cs="宋体"/>
          <w:b w:val="0"/>
          <w:bCs w:val="0"/>
          <w:sz w:val="28"/>
          <w:szCs w:val="28"/>
          <w:lang w:val="en-US" w:eastAsia="zh-CN"/>
        </w:rPr>
        <w:t>我县</w:t>
      </w:r>
      <w:r>
        <w:rPr>
          <w:rFonts w:hint="default" w:ascii="宋体" w:hAnsi="宋体" w:eastAsia="宋体" w:cs="宋体"/>
          <w:b w:val="0"/>
          <w:bCs w:val="0"/>
          <w:sz w:val="28"/>
          <w:szCs w:val="28"/>
          <w:lang w:val="en-US" w:eastAsia="zh-CN"/>
        </w:rPr>
        <w:t>经济逐步克服疫情带来的不利影响，经济运行呈现稳步恢复和持续向好的态势，主要经济指标逐步回升或保持较高的增幅，受疫情影响较大的行业正在持续恢复。但同时也要看到，经济运行中不稳定、不确定的因素仍然较多，疫情冲击造成的影响尚未完全消除，部分指标仍处于下降状态，部分受疫情影响较大的行业恢复到上年正常水平仍需一段时间。下一步，要坚持常态化疫情防控和经济发展两手抓，贯彻落实各项稳增长的决策部署，扎实做好“六稳”工作，全面落实“六保”任务，确保下半年经济进一步回升向好。</w:t>
      </w:r>
    </w:p>
    <w:p>
      <w:pPr>
        <w:keepNext w:val="0"/>
        <w:keepLines w:val="0"/>
        <w:pageBreakBefore w:val="0"/>
        <w:widowControl w:val="0"/>
        <w:kinsoku/>
        <w:wordWrap/>
        <w:overflowPunct/>
        <w:topLinePunct w:val="0"/>
        <w:autoSpaceDE/>
        <w:autoSpaceDN/>
        <w:bidi w:val="0"/>
        <w:adjustRightInd/>
        <w:snapToGrid/>
        <w:spacing w:line="360" w:lineRule="auto"/>
        <w:ind w:firstLine="5149" w:firstLineChars="1839"/>
        <w:textAlignment w:val="auto"/>
        <w:rPr>
          <w:rFonts w:hint="default" w:ascii="宋体" w:hAnsi="宋体" w:eastAsia="宋体" w:cs="宋体"/>
          <w:b w:val="0"/>
          <w:bCs w:val="0"/>
          <w:sz w:val="28"/>
          <w:szCs w:val="28"/>
          <w:lang w:val="en-US" w:eastAsia="zh-CN"/>
        </w:rPr>
      </w:pPr>
      <w:r>
        <w:rPr>
          <w:rFonts w:hint="default"/>
          <w:sz w:val="28"/>
          <w:szCs w:val="28"/>
          <w:lang w:val="en-US" w:eastAsia="zh-CN"/>
        </w:rPr>
        <w:t xml:space="preserve"> （撰稿人：杨燕玲）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注释：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1.地区生产总值、工业增加值及其分类项目增长速度按可比价计算，为实际增长速度；其他指标除特殊说明外，按现价计算，为名义增长速度。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根据广西地区生产总值（GDP）核算制度和第四次全国经济普查结果，地区生产总值已经根据全国第四次经济普查数据修正数进行了修订。第四次全国经济普查获取了比常规统计更为详细、准确的基础数据。根据普查资料对地区生产总值数据进行修订，既是国际惯例，也是制度规定，世界各国都是如此。修订后的数据，消除了以往可能存在的重复统计情况，以及过去历史上核算的一些统计误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根据最新行业分类标准，第一产业不包含农、林、牧、渔服务业，第二产业不包含开采辅助活动和金属制品、机械和设备修理业，第三产业包含农、林、牧、渔服务业、开采辅助活动和金属制品、机械和设备修理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default" w:ascii="宋体" w:hAnsi="宋体" w:eastAsia="宋体" w:cs="宋体"/>
          <w:b w:val="0"/>
          <w:bCs w:val="0"/>
          <w:sz w:val="28"/>
          <w:szCs w:val="28"/>
          <w:lang w:val="en-US" w:eastAsia="zh-CN"/>
        </w:rPr>
        <w:t>财政收支数据来源于三江县财政局；金融机构存贷款数据来源于中国人民银行柳州三江支行。</w:t>
      </w: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r>
        <w:rPr>
          <w:rFonts w:hint="default" w:ascii="仿宋_GB2312" w:hAnsi="宋体" w:eastAsia="仿宋_GB2312" w:cs="仿宋_GB2312"/>
          <w:i w:val="0"/>
          <w:color w:val="000000"/>
          <w:kern w:val="0"/>
          <w:sz w:val="24"/>
          <w:szCs w:val="24"/>
          <w:u w:val="none"/>
          <w:lang w:val="en-US" w:eastAsia="zh-CN"/>
        </w:rPr>
        <w:t>内部资料 请注意保管</w:t>
      </w:r>
    </w:p>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rPr>
      </w:pPr>
    </w:p>
    <w:tbl>
      <w:tblPr>
        <w:tblStyle w:val="4"/>
        <w:tblW w:w="8614" w:type="dxa"/>
        <w:tblInd w:w="-129" w:type="dxa"/>
        <w:shd w:val="clear" w:color="auto" w:fill="auto"/>
        <w:tblLayout w:type="fixed"/>
        <w:tblCellMar>
          <w:top w:w="0" w:type="dxa"/>
          <w:left w:w="0" w:type="dxa"/>
          <w:bottom w:w="0" w:type="dxa"/>
          <w:right w:w="0" w:type="dxa"/>
        </w:tblCellMar>
      </w:tblPr>
      <w:tblGrid>
        <w:gridCol w:w="3771"/>
        <w:gridCol w:w="909"/>
        <w:gridCol w:w="1350"/>
        <w:gridCol w:w="1260"/>
        <w:gridCol w:w="1324"/>
      </w:tblGrid>
      <w:tr>
        <w:tblPrEx>
          <w:shd w:val="clear" w:color="auto" w:fill="auto"/>
          <w:tblCellMar>
            <w:top w:w="0" w:type="dxa"/>
            <w:left w:w="0" w:type="dxa"/>
            <w:bottom w:w="0" w:type="dxa"/>
            <w:right w:w="0" w:type="dxa"/>
          </w:tblCellMar>
        </w:tblPrEx>
        <w:trPr>
          <w:trHeight w:val="312" w:hRule="atLeast"/>
        </w:trPr>
        <w:tc>
          <w:tcPr>
            <w:tcW w:w="8614" w:type="dxa"/>
            <w:gridSpan w:val="5"/>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rPr>
              <w:t xml:space="preserve">   2020年1-6月三江县综合经济指标</w:t>
            </w:r>
          </w:p>
        </w:tc>
      </w:tr>
      <w:tr>
        <w:tblPrEx>
          <w:tblCellMar>
            <w:top w:w="0" w:type="dxa"/>
            <w:left w:w="0" w:type="dxa"/>
            <w:bottom w:w="0" w:type="dxa"/>
            <w:right w:w="0" w:type="dxa"/>
          </w:tblCellMar>
        </w:tblPrEx>
        <w:trPr>
          <w:trHeight w:val="312" w:hRule="atLeast"/>
        </w:trPr>
        <w:tc>
          <w:tcPr>
            <w:tcW w:w="8614" w:type="dxa"/>
            <w:gridSpan w:val="5"/>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36"/>
                <w:szCs w:val="36"/>
                <w:u w:val="none"/>
              </w:rPr>
            </w:pPr>
          </w:p>
        </w:tc>
      </w:tr>
      <w:tr>
        <w:tblPrEx>
          <w:tblCellMar>
            <w:top w:w="0" w:type="dxa"/>
            <w:left w:w="0" w:type="dxa"/>
            <w:bottom w:w="0" w:type="dxa"/>
            <w:right w:w="0" w:type="dxa"/>
          </w:tblCellMar>
        </w:tblPrEx>
        <w:trPr>
          <w:trHeight w:val="369" w:hRule="atLeast"/>
        </w:trPr>
        <w:tc>
          <w:tcPr>
            <w:tcW w:w="8614"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填报单位：三江县统计局                                                       </w:t>
            </w:r>
          </w:p>
        </w:tc>
      </w:tr>
      <w:tr>
        <w:tblPrEx>
          <w:tblCellMar>
            <w:top w:w="0" w:type="dxa"/>
            <w:left w:w="0" w:type="dxa"/>
            <w:bottom w:w="0" w:type="dxa"/>
            <w:right w:w="0" w:type="dxa"/>
          </w:tblCellMar>
        </w:tblPrEx>
        <w:trPr>
          <w:trHeight w:val="275" w:hRule="atLeast"/>
        </w:trPr>
        <w:tc>
          <w:tcPr>
            <w:tcW w:w="3771" w:type="dxa"/>
            <w:vMerge w:val="restar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指标名称</w:t>
            </w:r>
          </w:p>
        </w:tc>
        <w:tc>
          <w:tcPr>
            <w:tcW w:w="909"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单位</w:t>
            </w:r>
          </w:p>
        </w:tc>
        <w:tc>
          <w:tcPr>
            <w:tcW w:w="3934"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累         计</w:t>
            </w:r>
          </w:p>
        </w:tc>
      </w:tr>
      <w:tr>
        <w:tblPrEx>
          <w:tblCellMar>
            <w:top w:w="0" w:type="dxa"/>
            <w:left w:w="0" w:type="dxa"/>
            <w:bottom w:w="0" w:type="dxa"/>
            <w:right w:w="0" w:type="dxa"/>
          </w:tblCellMar>
        </w:tblPrEx>
        <w:trPr>
          <w:trHeight w:val="368" w:hRule="atLeast"/>
        </w:trPr>
        <w:tc>
          <w:tcPr>
            <w:tcW w:w="3771" w:type="dxa"/>
            <w:vMerge w:val="continue"/>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0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1- 6月止累计</w:t>
            </w:r>
          </w:p>
        </w:tc>
        <w:tc>
          <w:tcPr>
            <w:tcW w:w="12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上年同期</w:t>
            </w:r>
          </w:p>
        </w:tc>
        <w:tc>
          <w:tcPr>
            <w:tcW w:w="1324"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累计比上年同期增长%</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地区生产总值（当年价、季报）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338703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316429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5.7</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第一产业</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65349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64273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3.1</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第二产业</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76402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58426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28.5</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#工业</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36631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35614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2.8</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建筑业</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40395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23233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69.6</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第三产业</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196952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193730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-0.2</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农林牧渔业总产值（当年价、季报）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154878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137045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3.1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全部工业总产值（当年价、季报）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66025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64237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2.8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规模以上工业增加值（当年价、季报）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11079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9524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17.5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规模以上工业总产值</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35872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30995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15.7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规模以上工业销售产值</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35236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30259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16.4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固定资产投资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53.7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#项目投资</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16.4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房地产</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591.8 </w:t>
            </w:r>
          </w:p>
        </w:tc>
      </w:tr>
      <w:tr>
        <w:tblPrEx>
          <w:tblCellMar>
            <w:top w:w="0" w:type="dxa"/>
            <w:left w:w="0" w:type="dxa"/>
            <w:bottom w:w="0" w:type="dxa"/>
            <w:right w:w="0" w:type="dxa"/>
          </w:tblCellMar>
        </w:tblPrEx>
        <w:trPr>
          <w:trHeight w:val="368"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商品房销售面积</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平方米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98040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50761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93.1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社会消费品零售总额（季报）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115414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121355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-4.9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金融机构存、贷款余额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1805915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1575105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14.7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#金融机构存款余额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1032794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929202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11.1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个人存款余额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729464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632074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15.4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金融机构贷款余额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773121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645903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19.7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财政收入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33772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37984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-11.1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#公共财政预算收入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24642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27593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-10.7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税收收入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16250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17823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-8.8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   企业所得税</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3521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3243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8.6 </w:t>
            </w:r>
          </w:p>
        </w:tc>
      </w:tr>
      <w:tr>
        <w:tblPrEx>
          <w:tblCellMar>
            <w:top w:w="0" w:type="dxa"/>
            <w:left w:w="0" w:type="dxa"/>
            <w:bottom w:w="0" w:type="dxa"/>
            <w:right w:w="0" w:type="dxa"/>
          </w:tblCellMar>
        </w:tblPrEx>
        <w:trPr>
          <w:trHeight w:val="242"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公共财政预算支出</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232076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180462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28.6 </w:t>
            </w:r>
          </w:p>
        </w:tc>
      </w:tr>
      <w:tr>
        <w:tblPrEx>
          <w:tblCellMar>
            <w:top w:w="0" w:type="dxa"/>
            <w:left w:w="0" w:type="dxa"/>
            <w:bottom w:w="0" w:type="dxa"/>
            <w:right w:w="0" w:type="dxa"/>
          </w:tblCellMar>
        </w:tblPrEx>
        <w:trPr>
          <w:trHeight w:val="241"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城镇居民人均可支配收入（季报）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15379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15272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0.7 </w:t>
            </w:r>
          </w:p>
        </w:tc>
      </w:tr>
      <w:tr>
        <w:tblPrEx>
          <w:tblCellMar>
            <w:top w:w="0" w:type="dxa"/>
            <w:left w:w="0" w:type="dxa"/>
            <w:bottom w:w="0" w:type="dxa"/>
            <w:right w:w="0" w:type="dxa"/>
          </w:tblCellMar>
        </w:tblPrEx>
        <w:trPr>
          <w:trHeight w:val="241" w:hRule="atLeast"/>
        </w:trPr>
        <w:tc>
          <w:tcPr>
            <w:tcW w:w="37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农村居民人均可支配收入（季报）</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4686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4408 </w:t>
            </w:r>
          </w:p>
        </w:tc>
        <w:tc>
          <w:tcPr>
            <w:tcW w:w="132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6.3 </w:t>
            </w:r>
          </w:p>
        </w:tc>
      </w:tr>
      <w:tr>
        <w:tblPrEx>
          <w:tblCellMar>
            <w:top w:w="0" w:type="dxa"/>
            <w:left w:w="0" w:type="dxa"/>
            <w:bottom w:w="0" w:type="dxa"/>
            <w:right w:w="0" w:type="dxa"/>
          </w:tblCellMar>
        </w:tblPrEx>
        <w:trPr>
          <w:trHeight w:val="193" w:hRule="atLeast"/>
        </w:trPr>
        <w:tc>
          <w:tcPr>
            <w:tcW w:w="3771"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单位负责人：梁宏耀                              </w:t>
            </w:r>
          </w:p>
        </w:tc>
        <w:tc>
          <w:tcPr>
            <w:tcW w:w="2259"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 xml:space="preserve">填报人：杨燕玲  </w:t>
            </w:r>
          </w:p>
        </w:tc>
        <w:tc>
          <w:tcPr>
            <w:tcW w:w="1260" w:type="dxa"/>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报送日期：</w:t>
            </w:r>
          </w:p>
        </w:tc>
        <w:tc>
          <w:tcPr>
            <w:tcW w:w="1324"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rPr>
              <w:t>2020.</w:t>
            </w:r>
            <w:r>
              <w:rPr>
                <w:rFonts w:hint="eastAsia" w:ascii="仿宋_GB2312" w:hAnsi="宋体" w:eastAsia="仿宋_GB2312" w:cs="仿宋_GB2312"/>
                <w:i w:val="0"/>
                <w:color w:val="000000"/>
                <w:kern w:val="0"/>
                <w:sz w:val="24"/>
                <w:szCs w:val="24"/>
                <w:u w:val="none"/>
                <w:lang w:val="en-US" w:eastAsia="zh-CN"/>
              </w:rPr>
              <w:t>8</w:t>
            </w:r>
            <w:r>
              <w:rPr>
                <w:rFonts w:hint="default" w:ascii="仿宋_GB2312" w:hAnsi="宋体" w:eastAsia="仿宋_GB2312" w:cs="仿宋_GB2312"/>
                <w:i w:val="0"/>
                <w:color w:val="000000"/>
                <w:kern w:val="0"/>
                <w:sz w:val="24"/>
                <w:szCs w:val="24"/>
                <w:u w:val="none"/>
                <w:lang w:val="en-US" w:eastAsia="zh-CN"/>
              </w:rPr>
              <w:t>.</w:t>
            </w:r>
            <w:r>
              <w:rPr>
                <w:rFonts w:hint="eastAsia" w:ascii="仿宋_GB2312" w:hAnsi="宋体" w:eastAsia="仿宋_GB2312" w:cs="仿宋_GB2312"/>
                <w:i w:val="0"/>
                <w:color w:val="000000"/>
                <w:kern w:val="0"/>
                <w:sz w:val="24"/>
                <w:szCs w:val="24"/>
                <w:u w:val="none"/>
                <w:lang w:val="en-US" w:eastAsia="zh-CN"/>
              </w:rPr>
              <w:t>7</w:t>
            </w:r>
          </w:p>
        </w:tc>
      </w:tr>
      <w:tr>
        <w:tblPrEx>
          <w:tblCellMar>
            <w:top w:w="0" w:type="dxa"/>
            <w:left w:w="0" w:type="dxa"/>
            <w:bottom w:w="0" w:type="dxa"/>
            <w:right w:w="0" w:type="dxa"/>
          </w:tblCellMar>
        </w:tblPrEx>
        <w:trPr>
          <w:trHeight w:val="363" w:hRule="atLeast"/>
        </w:trPr>
        <w:tc>
          <w:tcPr>
            <w:tcW w:w="8614" w:type="dxa"/>
            <w:gridSpan w:val="5"/>
            <w:tcBorders>
              <w:top w:val="nil"/>
              <w:left w:val="nil"/>
              <w:bottom w:val="nil"/>
              <w:right w:val="nil"/>
            </w:tcBorders>
            <w:shd w:val="clear" w:color="auto" w:fill="auto"/>
            <w:noWrap/>
            <w:tcMar>
              <w:top w:w="15" w:type="dxa"/>
              <w:left w:w="15" w:type="dxa"/>
              <w:right w:w="15" w:type="dxa"/>
            </w:tcMar>
            <w:vAlign w:val="center"/>
          </w:tcPr>
          <w:p>
            <w:pPr>
              <w:ind w:left="440" w:hanging="440" w:hangingChars="200"/>
              <w:jc w:val="left"/>
              <w:rPr>
                <w:rFonts w:hint="default" w:ascii="仿宋_GB2312" w:hAnsi="宋体" w:eastAsia="仿宋_GB2312" w:cs="仿宋_GB2312"/>
                <w:i w:val="0"/>
                <w:color w:val="000000"/>
                <w:kern w:val="0"/>
                <w:sz w:val="22"/>
                <w:szCs w:val="22"/>
                <w:u w:val="none"/>
                <w:lang w:val="en-US" w:eastAsia="zh-CN"/>
              </w:rPr>
            </w:pPr>
            <w:r>
              <w:rPr>
                <w:rFonts w:hint="default" w:ascii="仿宋_GB2312" w:hAnsi="宋体" w:eastAsia="仿宋_GB2312" w:cs="仿宋_GB2312"/>
                <w:i w:val="0"/>
                <w:color w:val="000000"/>
                <w:kern w:val="0"/>
                <w:sz w:val="22"/>
                <w:szCs w:val="22"/>
                <w:u w:val="none"/>
                <w:lang w:val="en-US" w:eastAsia="zh-CN"/>
              </w:rPr>
              <w:t>注：地区生产总值增长速度按可比价计算；</w:t>
            </w:r>
          </w:p>
          <w:p>
            <w:pPr>
              <w:ind w:firstLine="440" w:firstLineChars="200"/>
              <w:jc w:val="left"/>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2"/>
                <w:szCs w:val="22"/>
                <w:u w:val="none"/>
                <w:lang w:val="en-US" w:eastAsia="zh-CN"/>
              </w:rPr>
              <w:t>农林牧渔业总产值增长速度按上年价计算,其它指标增长速度按当年价计算。</w:t>
            </w:r>
          </w:p>
        </w:tc>
      </w:tr>
      <w:tr>
        <w:tblPrEx>
          <w:tblCellMar>
            <w:top w:w="0" w:type="dxa"/>
            <w:left w:w="0" w:type="dxa"/>
            <w:bottom w:w="0" w:type="dxa"/>
            <w:right w:w="0" w:type="dxa"/>
          </w:tblCellMar>
        </w:tblPrEx>
        <w:trPr>
          <w:trHeight w:val="186" w:hRule="atLeast"/>
        </w:trPr>
        <w:tc>
          <w:tcPr>
            <w:tcW w:w="377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rPr>
              <w:t xml:space="preserve">   </w:t>
            </w:r>
          </w:p>
        </w:tc>
        <w:tc>
          <w:tcPr>
            <w:tcW w:w="909" w:type="dxa"/>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2"/>
                <w:szCs w:val="22"/>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2"/>
                <w:szCs w:val="22"/>
                <w:u w:val="none"/>
              </w:rPr>
            </w:pPr>
          </w:p>
        </w:tc>
        <w:tc>
          <w:tcPr>
            <w:tcW w:w="1260" w:type="dxa"/>
            <w:tcBorders>
              <w:top w:val="nil"/>
              <w:left w:val="nil"/>
              <w:bottom w:val="nil"/>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c>
          <w:tcPr>
            <w:tcW w:w="1324"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7" o:spid="_x0000_s4097" o:spt="75" type="#_x0000_t75" style="position:absolute;left:0pt;margin-left:199.1pt;margin-top:-9.7pt;height:20.4pt;width:19.3pt;mso-position-horizontal-relative:margin;z-index:1024;mso-width-relative:page;mso-height-relative:page;" o:ole="t" filled="f" stroked="f" coordsize="21600,21600">
          <v:path/>
          <v:fill on="f" focussize="0,0"/>
          <v:stroke on="f" weight="0.5pt"/>
          <v:imagedata o:title=""/>
          <o:lock v:ext="edit" aspectratio="t"/>
          <v:textbox inset="0mm,0mm,0mm,0mm">
            <w:txbxContent>
              <w:p>
                <w:pPr>
                  <w:pStyle w:val="2"/>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2</w:t>
                </w:r>
                <w:r>
                  <w:rPr>
                    <w:rFonts w:hint="eastAsia"/>
                    <w:sz w:val="30"/>
                    <w:szCs w:val="30"/>
                    <w:lang w:eastAsia="zh-CN"/>
                  </w:rPr>
                  <w:fldChar w:fldCharType="end"/>
                </w:r>
              </w:p>
            </w:txbxContent>
          </v:textbox>
        </v:shape>
        <o:OLEObject Type="Embed" ProgID="Excel.Chart.8" ShapeID="4097" DrawAspect="Content" ObjectID="_1468075725" r:id="rId1">
          <o:LockedField>false</o:LockedField>
        </o:OLEObject>
      </w:pict>
    </w:r>
    <w:r>
      <w:rPr>
        <w:sz w:val="18"/>
      </w:rPr>
      <mc:AlternateContent>
        <mc:Choice Requires="wps">
          <w:drawing>
            <wp:anchor distT="0" distB="0" distL="114300" distR="114300" simplePos="0" relativeHeight="3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3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DixEvZxAIAANYFAAAOAAAA&#10;AAAAAAEAIAAAAB8BAABkcnMvZTJvRG9jLnhtbFBLBQYAAAAABgAGAFkBAABVBg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7"/>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24AC"/>
    <w:rsid w:val="01447CFD"/>
    <w:rsid w:val="033D170D"/>
    <w:rsid w:val="054A50EB"/>
    <w:rsid w:val="06F73444"/>
    <w:rsid w:val="11902665"/>
    <w:rsid w:val="12B03AD7"/>
    <w:rsid w:val="14325E19"/>
    <w:rsid w:val="156A5504"/>
    <w:rsid w:val="16CC70D5"/>
    <w:rsid w:val="183B78BF"/>
    <w:rsid w:val="1E027BCE"/>
    <w:rsid w:val="1E1041C9"/>
    <w:rsid w:val="21182689"/>
    <w:rsid w:val="22287190"/>
    <w:rsid w:val="23C04517"/>
    <w:rsid w:val="28562CB7"/>
    <w:rsid w:val="2B5C0168"/>
    <w:rsid w:val="2E8976DA"/>
    <w:rsid w:val="30786282"/>
    <w:rsid w:val="32B40359"/>
    <w:rsid w:val="336C0F94"/>
    <w:rsid w:val="349944A7"/>
    <w:rsid w:val="4ABB335F"/>
    <w:rsid w:val="522B5503"/>
    <w:rsid w:val="5B4C696F"/>
    <w:rsid w:val="5B762909"/>
    <w:rsid w:val="61842C49"/>
    <w:rsid w:val="63F332BC"/>
    <w:rsid w:val="6699419F"/>
    <w:rsid w:val="67A40A47"/>
    <w:rsid w:val="6FAB19F0"/>
    <w:rsid w:val="7213482D"/>
    <w:rsid w:val="730052DF"/>
    <w:rsid w:val="73220FEB"/>
    <w:rsid w:val="7D0E0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Calibri" w:hAnsi="Calibri" w:eastAsia="宋体" w:cs="Times New Roman"/>
      <w:sz w:val="20"/>
      <w:szCs w:val="20"/>
    </w:rPr>
  </w:style>
  <w:style w:type="paragraph" w:customStyle="1" w:styleId="7">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上半年农林牧渔业占比情况</a:t>
            </a:r>
            <a:endParaRPr b="1"/>
          </a:p>
        </c:rich>
      </c:tx>
      <c:layout/>
      <c:overlay val="0"/>
      <c:spPr>
        <a:noFill/>
        <a:ln>
          <a:noFill/>
        </a:ln>
        <a:effectLst/>
      </c:spPr>
    </c:title>
    <c:autoTitleDeleted val="0"/>
    <c:plotArea>
      <c:layout/>
      <c:pieChart>
        <c:varyColors val="1"/>
        <c:ser>
          <c:idx val="0"/>
          <c:order val="0"/>
          <c:tx>
            <c:strRef>
              <c:f>Sheet1!$B$1</c:f>
              <c:strCache>
                <c:ptCount val="1"/>
                <c:pt idx="0">
                  <c:v>上半年农林牧渔业占比情况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农业</c:v>
                </c:pt>
                <c:pt idx="1">
                  <c:v>林业</c:v>
                </c:pt>
                <c:pt idx="2">
                  <c:v>牧业</c:v>
                </c:pt>
                <c:pt idx="3">
                  <c:v>渔业</c:v>
                </c:pt>
              </c:strCache>
            </c:strRef>
          </c:cat>
          <c:val>
            <c:numRef>
              <c:f>Sheet1!$B$2:$B$5</c:f>
              <c:numCache>
                <c:formatCode>0.0%</c:formatCode>
                <c:ptCount val="4"/>
                <c:pt idx="0">
                  <c:v>0.69</c:v>
                </c:pt>
                <c:pt idx="1">
                  <c:v>0.053</c:v>
                </c:pt>
                <c:pt idx="2">
                  <c:v>0.211</c:v>
                </c:pt>
                <c:pt idx="3">
                  <c:v>0.013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4652</Words>
  <Characters>5505</Characters>
  <Paragraphs>275</Paragraphs>
  <TotalTime>25</TotalTime>
  <ScaleCrop>false</ScaleCrop>
  <LinksUpToDate>false</LinksUpToDate>
  <CharactersWithSpaces>5807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2020-06-16T09:11:00Z</dcterms:created>
  <dc:creator>WheneyYang</dc:creator>
  <cp:lastModifiedBy>WheneyYang</cp:lastModifiedBy>
  <cp:lastPrinted>2020-07-27T03:45:00Z</cp:lastPrinted>
  <dcterms:modified xsi:type="dcterms:W3CDTF">2020-08-07T02:24:50Z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