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28"/>
          <w:szCs w:val="28"/>
        </w:rPr>
      </w:pPr>
      <w:r>
        <w:rPr>
          <w:rFonts w:hint="eastAsia" w:ascii="方正小标宋_GBK" w:hAnsi="方正小标宋_GBK" w:eastAsia="方正小标宋_GBK"/>
          <w:b w:val="0"/>
          <w:bCs w:val="0"/>
          <w:sz w:val="28"/>
          <w:szCs w:val="28"/>
          <w:lang w:eastAsia="zh-CN"/>
        </w:rPr>
        <w:t>三江侗族自治县</w:t>
      </w: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28"/>
          <w:szCs w:val="28"/>
        </w:rPr>
        <w:t>税收管理领域基层政务公开标准目录</w:t>
      </w:r>
    </w:p>
    <w:tbl>
      <w:tblPr>
        <w:tblStyle w:val="3"/>
        <w:tblW w:w="15840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全社会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特定群众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主动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依申请公开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县级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政策法规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税收法律法规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自该政府信息形成或者变更之日起20个工作日内及时公开</w:t>
            </w:r>
          </w:p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三江县税务局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三江县政府门户网站、柳州市税务局门户网站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  </w:t>
            </w:r>
          </w:p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其他：办税服务厅                                                          </w:t>
            </w:r>
          </w:p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税收规范性文件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纳税人权利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三江县税务局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三江县政府门户网站、柳州市税务局门户网站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纳税人义务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纳税服务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A级纳税人名单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三江县税务局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三江县政府门户网站、柳州市税务局门户网站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三江县税务局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三江县政府门户网站、柳州市税务局门户网站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其他：办税服务厅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纳税服务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办税地图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三江县税务局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三江县政府门户网站、柳州市税务局门户网站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办税日历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三江县税务局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三江县政府门户网站、柳州市税务局门户网站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办税指南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三江县税务局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bottom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权责清单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三江县税务局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三江县税务局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政府网站 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12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三江县税务局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非正常户公告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三江县税务局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欠税公告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三江县税务局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纳税人名称、统一社会信息代码（纳税人识别号）、生产经营地址、定额项目、行业类别、核定定额、应纳税额、定额执行起止日期、主管税务机关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三江县税务局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行政执法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委托代征公告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三江县税务局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政府网站  </w:t>
            </w:r>
          </w:p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　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F42C0"/>
    <w:rsid w:val="05734F55"/>
    <w:rsid w:val="0D6A3FDB"/>
    <w:rsid w:val="11F866B6"/>
    <w:rsid w:val="2F290FA1"/>
    <w:rsid w:val="706D2694"/>
    <w:rsid w:val="756F42C0"/>
    <w:rsid w:val="7FE6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2020-10-14T03:17:00Z</dcterms:created>
  <dc:creator>吴宇晴</dc:creator>
  <cp:lastModifiedBy>阵雨</cp:lastModifiedBy>
  <dcterms:modified xsi:type="dcterms:W3CDTF">2020-11-30T07:26:46Z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