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color w:val="auto"/>
          <w:sz w:val="30"/>
          <w:szCs w:val="30"/>
        </w:rPr>
      </w:pPr>
    </w:p>
    <w:p>
      <w:pPr>
        <w:pStyle w:val="7"/>
        <w:jc w:val="center"/>
        <w:rPr>
          <w:rFonts w:hint="eastAsia" w:ascii="黑体" w:eastAsia="黑体"/>
          <w:color w:val="auto"/>
          <w:sz w:val="40"/>
          <w:szCs w:val="40"/>
        </w:rPr>
      </w:pPr>
      <w:r>
        <w:rPr>
          <w:rStyle w:val="13"/>
          <w:rFonts w:hint="eastAsia" w:ascii="黑体" w:hAnsi="方正小标宋_GBK" w:eastAsia="黑体"/>
          <w:color w:val="auto"/>
          <w:sz w:val="40"/>
          <w:szCs w:val="40"/>
          <w:lang w:eastAsia="zh-CN"/>
        </w:rPr>
        <w:t>三江侗族自治县</w:t>
      </w:r>
      <w:r>
        <w:rPr>
          <w:rStyle w:val="13"/>
          <w:rFonts w:hint="eastAsia" w:ascii="黑体" w:hAnsi="方正小标宋_GBK" w:eastAsia="黑体"/>
          <w:color w:val="auto"/>
          <w:sz w:val="40"/>
          <w:szCs w:val="40"/>
        </w:rPr>
        <w:fldChar w:fldCharType="begin"/>
      </w:r>
      <w:r>
        <w:rPr>
          <w:rStyle w:val="13"/>
          <w:rFonts w:hint="eastAsia" w:ascii="黑体" w:hAnsi="方正小标宋_GBK" w:eastAsia="黑体"/>
          <w:color w:val="auto"/>
          <w:sz w:val="40"/>
          <w:szCs w:val="40"/>
        </w:rPr>
        <w:instrText xml:space="preserve"> HYPERLINK \l "_Toc24724721" </w:instrText>
      </w:r>
      <w:r>
        <w:rPr>
          <w:rStyle w:val="13"/>
          <w:rFonts w:hint="eastAsia" w:ascii="黑体" w:hAnsi="方正小标宋_GBK" w:eastAsia="黑体"/>
          <w:color w:val="auto"/>
          <w:sz w:val="40"/>
          <w:szCs w:val="40"/>
        </w:rPr>
        <w:fldChar w:fldCharType="separate"/>
      </w:r>
      <w:r>
        <w:rPr>
          <w:rStyle w:val="13"/>
          <w:rFonts w:hint="eastAsia" w:ascii="黑体" w:hAnsi="方正小标宋_GBK" w:eastAsia="黑体"/>
          <w:color w:val="auto"/>
          <w:sz w:val="40"/>
          <w:szCs w:val="40"/>
        </w:rPr>
        <w:t>城市综合执法领域基层政务公开</w:t>
      </w:r>
      <w:r>
        <w:rPr>
          <w:rStyle w:val="13"/>
          <w:rFonts w:hint="eastAsia" w:ascii="黑体" w:hAnsi="方正小标宋_GBK" w:eastAsia="黑体"/>
          <w:color w:val="auto"/>
          <w:sz w:val="40"/>
          <w:szCs w:val="40"/>
          <w:lang w:eastAsia="zh-CN"/>
        </w:rPr>
        <w:t>事项</w:t>
      </w:r>
      <w:bookmarkStart w:id="0" w:name="_GoBack"/>
      <w:bookmarkEnd w:id="0"/>
      <w:r>
        <w:rPr>
          <w:rStyle w:val="13"/>
          <w:rFonts w:hint="eastAsia" w:ascii="黑体" w:hAnsi="方正小标宋_GBK" w:eastAsia="黑体"/>
          <w:color w:val="auto"/>
          <w:sz w:val="40"/>
          <w:szCs w:val="40"/>
        </w:rPr>
        <w:t>标准目录</w:t>
      </w:r>
      <w:r>
        <w:rPr>
          <w:rStyle w:val="13"/>
          <w:rFonts w:hint="eastAsia" w:ascii="黑体" w:hAnsi="方正小标宋_GBK" w:eastAsia="黑体"/>
          <w:color w:val="auto"/>
          <w:sz w:val="40"/>
          <w:szCs w:val="40"/>
        </w:rPr>
        <w:fldChar w:fldCharType="end"/>
      </w:r>
    </w:p>
    <w:tbl>
      <w:tblPr>
        <w:tblStyle w:val="9"/>
        <w:tblW w:w="15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22"/>
        <w:gridCol w:w="1478"/>
        <w:gridCol w:w="2100"/>
        <w:gridCol w:w="2700"/>
        <w:gridCol w:w="1367"/>
        <w:gridCol w:w="833"/>
        <w:gridCol w:w="1468"/>
        <w:gridCol w:w="983"/>
        <w:gridCol w:w="650"/>
        <w:gridCol w:w="609"/>
        <w:gridCol w:w="684"/>
        <w:gridCol w:w="665"/>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8" w:type="dxa"/>
            <w:vMerge w:val="restart"/>
            <w:shd w:val="clear" w:color="auto" w:fill="auto"/>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260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367"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33"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68"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633"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93"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93" w:type="dxa"/>
            <w:gridSpan w:val="2"/>
            <w:shd w:val="clear" w:color="auto" w:fill="auto"/>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08" w:type="dxa"/>
            <w:vMerge w:val="continue"/>
            <w:vAlign w:val="center"/>
          </w:tcPr>
          <w:p>
            <w:pPr>
              <w:widowControl/>
              <w:jc w:val="left"/>
              <w:rPr>
                <w:rFonts w:ascii="Times New Roman" w:hAnsi="Times New Roman" w:eastAsia="黑体"/>
                <w:color w:val="000000"/>
                <w:kern w:val="0"/>
                <w:sz w:val="15"/>
                <w:szCs w:val="15"/>
              </w:rPr>
            </w:pPr>
          </w:p>
        </w:tc>
        <w:tc>
          <w:tcPr>
            <w:tcW w:w="1122"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478"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00" w:type="dxa"/>
            <w:vMerge w:val="continue"/>
            <w:vAlign w:val="center"/>
          </w:tcPr>
          <w:p>
            <w:pPr>
              <w:widowControl/>
              <w:jc w:val="left"/>
              <w:rPr>
                <w:rFonts w:hint="eastAsia" w:ascii="黑体" w:hAnsi="宋体" w:eastAsia="黑体" w:cs="宋体"/>
                <w:color w:val="000000"/>
                <w:kern w:val="0"/>
                <w:sz w:val="22"/>
              </w:rPr>
            </w:pPr>
          </w:p>
        </w:tc>
        <w:tc>
          <w:tcPr>
            <w:tcW w:w="2700" w:type="dxa"/>
            <w:vMerge w:val="continue"/>
            <w:vAlign w:val="center"/>
          </w:tcPr>
          <w:p>
            <w:pPr>
              <w:widowControl/>
              <w:jc w:val="left"/>
              <w:rPr>
                <w:rFonts w:hint="eastAsia" w:ascii="黑体" w:hAnsi="宋体" w:eastAsia="黑体" w:cs="宋体"/>
                <w:color w:val="000000"/>
                <w:kern w:val="0"/>
                <w:sz w:val="22"/>
              </w:rPr>
            </w:pPr>
          </w:p>
        </w:tc>
        <w:tc>
          <w:tcPr>
            <w:tcW w:w="1367" w:type="dxa"/>
            <w:vMerge w:val="continue"/>
            <w:vAlign w:val="center"/>
          </w:tcPr>
          <w:p>
            <w:pPr>
              <w:widowControl/>
              <w:jc w:val="left"/>
              <w:rPr>
                <w:rFonts w:hint="eastAsia" w:ascii="黑体" w:hAnsi="宋体" w:eastAsia="黑体" w:cs="宋体"/>
                <w:color w:val="000000"/>
                <w:kern w:val="0"/>
                <w:sz w:val="22"/>
              </w:rPr>
            </w:pPr>
          </w:p>
        </w:tc>
        <w:tc>
          <w:tcPr>
            <w:tcW w:w="833" w:type="dxa"/>
            <w:vMerge w:val="continue"/>
            <w:vAlign w:val="center"/>
          </w:tcPr>
          <w:p>
            <w:pPr>
              <w:widowControl/>
              <w:jc w:val="left"/>
              <w:rPr>
                <w:rFonts w:hint="eastAsia" w:ascii="黑体" w:hAnsi="宋体" w:eastAsia="黑体" w:cs="宋体"/>
                <w:color w:val="000000"/>
                <w:kern w:val="0"/>
                <w:sz w:val="22"/>
              </w:rPr>
            </w:pPr>
          </w:p>
        </w:tc>
        <w:tc>
          <w:tcPr>
            <w:tcW w:w="1468" w:type="dxa"/>
            <w:vMerge w:val="continue"/>
            <w:vAlign w:val="center"/>
          </w:tcPr>
          <w:p>
            <w:pPr>
              <w:widowControl/>
              <w:jc w:val="left"/>
              <w:rPr>
                <w:rFonts w:hint="eastAsia" w:ascii="黑体" w:hAnsi="宋体" w:eastAsia="黑体" w:cs="宋体"/>
                <w:kern w:val="0"/>
                <w:sz w:val="22"/>
              </w:rPr>
            </w:pPr>
          </w:p>
        </w:tc>
        <w:tc>
          <w:tcPr>
            <w:tcW w:w="983"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5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609"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684"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5" w:type="dxa"/>
            <w:shd w:val="clear" w:color="auto" w:fill="auto"/>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 xml:space="preserve">县 </w:t>
            </w:r>
          </w:p>
        </w:tc>
        <w:tc>
          <w:tcPr>
            <w:tcW w:w="628" w:type="dxa"/>
            <w:shd w:val="clear" w:color="auto" w:fill="auto"/>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708" w:type="dxa"/>
            <w:vAlign w:val="center"/>
          </w:tcPr>
          <w:p>
            <w:pPr>
              <w:spacing w:line="700" w:lineRule="exact"/>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w:t>
            </w:r>
          </w:p>
        </w:tc>
        <w:tc>
          <w:tcPr>
            <w:tcW w:w="1122" w:type="dxa"/>
            <w:shd w:val="clear" w:color="auto" w:fill="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违反市政设施管理规定的处罚</w:t>
            </w:r>
          </w:p>
        </w:tc>
        <w:tc>
          <w:tcPr>
            <w:tcW w:w="1478" w:type="dxa"/>
            <w:shd w:val="clear" w:color="auto" w:fill="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20"/>
                <w:szCs w:val="20"/>
              </w:rPr>
              <w:t>1.对未设在城市道路上的各种管线的检查井、箱盖或者城市道路附属设施的缺损及时补缺或者修复，消除管线井盖缺损安全隐患的处罚</w:t>
            </w:r>
          </w:p>
        </w:tc>
        <w:tc>
          <w:tcPr>
            <w:tcW w:w="2100" w:type="dxa"/>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2700" w:type="dxa"/>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20"/>
                <w:szCs w:val="20"/>
              </w:rPr>
              <w:t>《城市道路管理条例》</w:t>
            </w:r>
          </w:p>
        </w:tc>
        <w:tc>
          <w:tcPr>
            <w:tcW w:w="1367" w:type="dxa"/>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833" w:type="dxa"/>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1468" w:type="dxa"/>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983" w:type="dxa"/>
            <w:shd w:val="clear" w:color="auto" w:fill="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650" w:type="dxa"/>
            <w:shd w:val="clear" w:color="auto" w:fill="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609" w:type="dxa"/>
            <w:shd w:val="clear" w:color="auto" w:fill="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684" w:type="dxa"/>
            <w:shd w:val="clear" w:color="auto" w:fill="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665" w:type="dxa"/>
            <w:shd w:val="clear" w:color="auto" w:fill="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628" w:type="dxa"/>
            <w:shd w:val="clear" w:color="auto" w:fill="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违反市政设施管理规定的处罚</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20"/>
                <w:szCs w:val="20"/>
              </w:rPr>
              <w:t>2.未在城市道路施工现场设置明显标志和安全防围设施的处罚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违反市政设施管理规定的处罚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3.经批准临时占用道路的单位和个人不遵守相关规定的处罚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违反市政设施管理规定的处罚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4.依附于城市道路建设各种管线、杆线等设施，不按照规定办理批准手续的处罚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违反市政设施管理规定的处罚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5.紧急抢修埋设在城市道路下的管线，不按照规定补办批准手续的处罚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2</w:t>
            </w: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不按规定违章停放车辆的处罚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3</w:t>
            </w: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1.未经批准擅自占用城市绿化用地的处罚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2.损坏城市树木花草和绿化设施的处罚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《城市绿化条例》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3.擅自砍伐、移植城市树木行为的处罚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《城市绿化条例》</w:t>
            </w:r>
            <w:r>
              <w:rPr>
                <w:rFonts w:hint="eastAsia" w:ascii="仿宋_GB2312" w:hAnsi="仿宋_GB2312" w:eastAsia="仿宋_GB2312" w:cs="仿宋_GB2312"/>
                <w:color w:val="auto"/>
                <w:kern w:val="0"/>
                <w:sz w:val="20"/>
                <w:szCs w:val="20"/>
                <w:lang w:eastAsia="zh-CN"/>
              </w:rPr>
              <w:t>和</w:t>
            </w:r>
            <w:r>
              <w:rPr>
                <w:rFonts w:hint="eastAsia" w:ascii="仿宋_GB2312" w:hAnsi="仿宋_GB2312" w:eastAsia="仿宋_GB2312" w:cs="仿宋_GB2312"/>
                <w:color w:val="auto"/>
                <w:kern w:val="0"/>
                <w:sz w:val="20"/>
                <w:szCs w:val="20"/>
              </w:rPr>
              <w:t>《广西壮族自治区实施&lt;城市绿化条例&gt;办法》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4.砍伐、擅自迁移古树名木或者因养护不善致使古树名木受到损伤或者死亡的处罚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《城市绿化条例》</w:t>
            </w:r>
            <w:r>
              <w:rPr>
                <w:rFonts w:hint="eastAsia" w:ascii="仿宋_GB2312" w:hAnsi="仿宋_GB2312" w:eastAsia="仿宋_GB2312" w:cs="仿宋_GB2312"/>
                <w:color w:val="auto"/>
                <w:kern w:val="0"/>
                <w:sz w:val="20"/>
                <w:szCs w:val="20"/>
                <w:lang w:eastAsia="zh-CN"/>
              </w:rPr>
              <w:t>和</w:t>
            </w:r>
            <w:r>
              <w:rPr>
                <w:rFonts w:hint="eastAsia" w:ascii="仿宋_GB2312" w:hAnsi="仿宋_GB2312" w:eastAsia="仿宋_GB2312" w:cs="仿宋_GB2312"/>
                <w:color w:val="auto"/>
                <w:kern w:val="0"/>
                <w:sz w:val="20"/>
                <w:szCs w:val="20"/>
              </w:rPr>
              <w:t>《广西壮族自治区实施&lt;城市绿化条例&gt;办法》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5.擅自在城市公共绿地内开设商业、服务摊点或者不服从管理的处罚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《城市绿化条例》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对违反城市绿化管理规定的处罚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6.依树搭建屋棚或者围圈树木，在城市绿地内堆放物体、排放污水或者倾倒废弃物，在城市绿地内挖坑、取土，钉、刻、划、攀折树木或者损坏花草，擅自修剪树木等及其他损坏城市绿化及设施的行为的处罚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《广西壮族自治区实施&lt;城市绿化条例&gt;办法》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4</w:t>
            </w: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违反城市照明管理规定的处罚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1.在城市景观照明中有过度照明等超能耗标准行为的处罚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《城市照明管理规定》</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违反城市照明管理规定的处罚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2.破坏、影响城市照明设施卫生、安全以及正常运行的行为的处罚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《城市照明管理规定》</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5</w:t>
            </w: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1.对污染、破坏或不按规定履行清理义务影响市容和环境卫生违法行为的处罚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《城市市容和环境卫生管理条例》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2.在城市人民政府规定的街道的临街建筑物、构筑物或者设施擅自设置遮雨（阳）棚、设置安全网超出墙体行为的处罚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3.占用城市道路洗车、加工等活动或者焚烧废弃物污染、破坏或者影响市容和环境卫生违法行为的处罚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4.城市广场周边和主要街道两侧的店铺超出门槛和窗经营、作业以及摆放广告牌、灯箱或者展示商品的处罚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5.在活动结束后未按规定时间清除临时设施及废弃物行为的处罚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6.将未经验收或者验收不合格的公共厕所或者建设工程交付使用行为的处罚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7.城市范围内的工程施工现场影响市容和环境卫生的处罚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8.在城市主干道摆摊设点、沿街叫卖，城市非主干道两侧临时摊点未按照规定的地点和时限经营等行为的处罚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《无照经营查处取缔办法》</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9.违反城市公厕规划、建设和维护管理的处罚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《城市公厕管理办法》</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违反市容环境卫生管理规定的处罚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10.在公厕内乱丢垃圾、污物，随地吐痰，乱涂乱画；破坏公厕设施、设备；未经批准擅自占用或者改变公厕使用性质的处罚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《城市市容和环境卫生管理条例》</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《城市公厕管理办法》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kern w:val="0"/>
                <w:sz w:val="20"/>
                <w:szCs w:val="20"/>
              </w:rPr>
              <w:t>对在城市绿地范围内对城市生态环境造成破坏的活动的处罚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《城市绿线管理办法》广西壮族自治区实施《城市绿化条例》办法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6</w:t>
            </w:r>
          </w:p>
        </w:tc>
        <w:tc>
          <w:tcPr>
            <w:tcW w:w="0" w:type="auto"/>
            <w:vAlign w:val="center"/>
          </w:tcPr>
          <w:p>
            <w:pPr>
              <w:jc w:val="center"/>
              <w:rPr>
                <w:rFonts w:hint="eastAsia" w:ascii="仿宋_GB2312" w:hAnsi="宋体" w:eastAsia="仿宋_GB2312" w:cs="宋体"/>
                <w:color w:val="auto"/>
                <w:kern w:val="2"/>
                <w:sz w:val="18"/>
                <w:szCs w:val="18"/>
                <w:lang w:val="en-US" w:eastAsia="zh-CN" w:bidi="ar-SA"/>
              </w:rPr>
            </w:pPr>
            <w:r>
              <w:rPr>
                <w:rFonts w:hint="eastAsia" w:ascii="仿宋_GB2312" w:hAnsi="仿宋_GB2312" w:eastAsia="仿宋_GB2312" w:cs="仿宋_GB2312"/>
                <w:color w:val="auto"/>
                <w:sz w:val="20"/>
                <w:szCs w:val="20"/>
              </w:rPr>
              <w:t>对未经审批在街道两侧和公共场地临时堆放物料、搭建非永久性建筑物、构筑物或者其他设施的处罚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rPr>
              <w:t>《城市市容和环境卫生管理条例》《广西壮族自治区实施&lt;城市市容和环境卫生管理条例&gt;办法》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对随意倾倒、抛撒或者堆放建筑垃圾的处罚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《城市建筑垃圾管理规定》</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7</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对不符合城市容貌标准、环境卫生标准的建筑物、构筑物或者设施的处罚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《广西壮族自治区实施〈城市市容和环境卫生管理条例〉办法》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8</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对侵占、损坏城市各类环境卫生设施及其附属设施的处罚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广西壮族自治区实施〈城市市容和环境卫生管理条例〉办法》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9</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对排水户名称、法定代表人等其他事项变更，未按本办法规定及时向城镇排水主管部门申请办理变更的处罚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《城镇污水排入排水管网许可管理办法》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10</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对排水户在发生事故或其他突发事件时，违规排污的行为的处罚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《城镇污水排入排水管网许可管理办法》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11</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对从事危及城镇排水设施安全的活动的处罚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12</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对未采用安全防护措施、擅自拆除、改动城镇排水与污水处理设施的处罚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13</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对排水户违反本办法规定，拒不接受水质、水量监测或者妨碍、阻挠城镇排水主管部门依法监督检查的处罚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《城镇污水排入排水管网许可管理办法》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14</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对在城镇排水与污水处理设施覆盖范围内，未按照国家有关规定将污水排入城镇排水设施，或者在雨水、污水分流地区将污水排入雨水管网的处罚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15</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对违反城市道路建设施工规定的处罚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16</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对擅自使用未经验收或者验收不合格的城市道路的处罚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17</w:t>
            </w:r>
          </w:p>
        </w:tc>
        <w:tc>
          <w:tcPr>
            <w:tcW w:w="0" w:type="auto"/>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未对设在城市道路上的各种管线的检查井、箱盖或者城市道路附属设施的缺损及时补缺或者修复，消除管线井盖缺损安全隐患的处罚；未在城市道路竣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p>
            <w:pPr>
              <w:jc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rPr>
              <w:t>1、对未对设在城市道路上的各种管线的检查井、箱盖或者城市道路附属设施的缺损及时补缺或者修复，消除管线井盖缺损安全隐患的处罚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rPr>
              <w:t>2、对未在城市道路施工现场设置明显标志和安全防围设施的处罚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3.对经批准临时占用道路的单位和个人不遵守相关规定的处罚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4.对依附于城市道路建设各种管线、杆线等设施，不按照规定办理批准手续的处罚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5.对紧急抢修埋设在城市道路下的管线，不按照规定补办批准手续的处罚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《城市道路管理条例》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18</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对排水户未取得污水排入排水管网许可证向城镇排水设施排放污水的处罚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19</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对排水单位或者个人不缴纳污水处理费的处罚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20</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1.对在城市桥梁安全保护区范围内损害城市桥梁的行为的处罚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2.对擅自在城市桥梁安全保护区范围内从事牵拉、吊装、打桩、挖掘、地下（水下）管道顶进、爆破作业的处罚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widowControl/>
              <w:spacing w:line="240" w:lineRule="exact"/>
              <w:jc w:val="left"/>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3.对桥梁产权人或者委托管理人未按照规定编制城市桥梁养护维修的中长期规划和年度计划，或者未经批准即实施的处罚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4.对桥梁产权人或者委托管理人未按照规定设置相应的标志，并保持其完好、清晰的处罚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5.对桥梁产权人或者委托管理人未按照规定委托具有相应资格的机构对城市桥梁进行检测评估的处罚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21</w:t>
            </w: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对城镇排水及污水处理设施运营单位违反排污管理规定的处罚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1.对未提前通知相关排水户或者未事先向城镇排水主管部门报告的处罚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对城镇排水及污水处理设施运营单位违反排污管理规定的处罚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2.对未按照国家有关规定检测进出水水质的，或者未报送污水处理水质和水量、主要污染物削减量等信息和生产运营成本等信息的处罚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对城镇排水及污水处理设施运营单位违反排污管理规定的处罚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3.对未按照规定事先报告或采取应急处理措施的处罚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对城镇排水及污水处理设施运营单位违反排污管理规定的处罚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4.对未进行处置后污泥跟踪记录或处理处置后的污泥不符合国家有关标准的处罚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对城镇排水及污水处理设施运营单位违反排污管理规定的处罚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5.对未及时采取防护措施、组织事故抢修或因巡查、维护不到位造成人员伤亡和财产损失的处罚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《城镇排水与污水处理条例》</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6.</w:t>
            </w:r>
            <w:r>
              <w:rPr>
                <w:rFonts w:hint="eastAsia" w:ascii="仿宋_GB2312" w:hAnsi="仿宋_GB2312" w:eastAsia="仿宋_GB2312" w:cs="仿宋_GB2312"/>
                <w:color w:val="auto"/>
                <w:sz w:val="20"/>
                <w:szCs w:val="20"/>
              </w:rPr>
              <w:t>对桥梁产权人或者委托管理人未按照规定制定城市桥梁的安全抢险预备方案的处罚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7.对桥梁产权人或者委托管理人未按照规定对城市桥梁进行养护维修的处罚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p>
        </w:tc>
        <w:tc>
          <w:tcPr>
            <w:tcW w:w="0" w:type="auto"/>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违反城市桥梁管理规定的处罚</w:t>
            </w:r>
          </w:p>
        </w:tc>
        <w:tc>
          <w:tcPr>
            <w:tcW w:w="0" w:type="auto"/>
            <w:vAlign w:val="center"/>
          </w:tcPr>
          <w:p>
            <w:pPr>
              <w:spacing w:line="24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8.对承载能力下降尚未构成危桥的城市桥梁和对判定为危桥的城市桥梁未及时设置警示标志并立即采取加固等安全措施的处罚</w:t>
            </w:r>
          </w:p>
        </w:tc>
        <w:tc>
          <w:tcPr>
            <w:tcW w:w="0" w:type="auto"/>
            <w:vAlign w:val="center"/>
          </w:tcPr>
          <w:p>
            <w:pPr>
              <w:rPr>
                <w:rFonts w:hint="eastAsia" w:ascii="仿宋_GB2312" w:hAnsi="宋体" w:eastAsia="仿宋_GB2312" w:cs="宋体"/>
                <w:color w:val="auto"/>
                <w:kern w:val="2"/>
                <w:sz w:val="18"/>
                <w:szCs w:val="18"/>
                <w:lang w:val="en-US" w:eastAsia="zh-CN" w:bidi="ar-SA"/>
              </w:rPr>
            </w:pPr>
            <w:r>
              <w:rPr>
                <w:rFonts w:hint="eastAsia" w:ascii="仿宋_GB2312" w:eastAsia="仿宋_GB2312"/>
                <w:color w:val="auto"/>
                <w:sz w:val="18"/>
                <w:szCs w:val="18"/>
              </w:rPr>
              <w:t>1.机构职能、权责清单、执法人员名单；</w:t>
            </w:r>
            <w:r>
              <w:rPr>
                <w:rFonts w:hint="eastAsia" w:ascii="仿宋_GB2312" w:eastAsia="仿宋_GB2312"/>
                <w:color w:val="auto"/>
                <w:sz w:val="18"/>
                <w:szCs w:val="18"/>
              </w:rPr>
              <w:br w:type="textWrapping"/>
            </w:r>
            <w:r>
              <w:rPr>
                <w:rFonts w:hint="eastAsia" w:ascii="仿宋_GB2312" w:eastAsia="仿宋_GB2312"/>
                <w:color w:val="auto"/>
                <w:sz w:val="18"/>
                <w:szCs w:val="18"/>
              </w:rPr>
              <w:t>2.执法程序或行政强制流程图；</w:t>
            </w:r>
            <w:r>
              <w:rPr>
                <w:rFonts w:hint="eastAsia" w:ascii="仿宋_GB2312" w:eastAsia="仿宋_GB2312"/>
                <w:color w:val="auto"/>
                <w:sz w:val="18"/>
                <w:szCs w:val="18"/>
              </w:rPr>
              <w:br w:type="textWrapping"/>
            </w:r>
            <w:r>
              <w:rPr>
                <w:rFonts w:hint="eastAsia" w:ascii="仿宋_GB2312" w:eastAsia="仿宋_GB2312"/>
                <w:color w:val="auto"/>
                <w:sz w:val="18"/>
                <w:szCs w:val="18"/>
              </w:rPr>
              <w:t>3.执法依据；</w:t>
            </w:r>
            <w:r>
              <w:rPr>
                <w:rFonts w:hint="eastAsia" w:ascii="仿宋_GB2312" w:eastAsia="仿宋_GB2312"/>
                <w:color w:val="auto"/>
                <w:sz w:val="18"/>
                <w:szCs w:val="18"/>
              </w:rPr>
              <w:br w:type="textWrapping"/>
            </w:r>
            <w:r>
              <w:rPr>
                <w:rFonts w:hint="eastAsia" w:ascii="仿宋_GB2312" w:eastAsia="仿宋_GB2312"/>
                <w:color w:val="auto"/>
                <w:sz w:val="18"/>
                <w:szCs w:val="18"/>
              </w:rPr>
              <w:t>4.行政处罚自由裁量基准；</w:t>
            </w:r>
            <w:r>
              <w:rPr>
                <w:rFonts w:hint="eastAsia" w:ascii="仿宋_GB2312" w:eastAsia="仿宋_GB2312"/>
                <w:color w:val="auto"/>
                <w:sz w:val="18"/>
                <w:szCs w:val="18"/>
              </w:rPr>
              <w:br w:type="textWrapping"/>
            </w:r>
            <w:r>
              <w:rPr>
                <w:rFonts w:hint="eastAsia" w:ascii="仿宋_GB2312" w:eastAsia="仿宋_GB2312"/>
                <w:color w:val="auto"/>
                <w:sz w:val="18"/>
                <w:szCs w:val="18"/>
              </w:rPr>
              <w:t>5.咨询、监督投诉方式；</w:t>
            </w:r>
            <w:r>
              <w:rPr>
                <w:rFonts w:hint="eastAsia" w:ascii="仿宋_GB2312" w:eastAsia="仿宋_GB2312"/>
                <w:color w:val="auto"/>
                <w:sz w:val="18"/>
                <w:szCs w:val="18"/>
              </w:rPr>
              <w:br w:type="textWrapping"/>
            </w:r>
            <w:r>
              <w:rPr>
                <w:rFonts w:hint="eastAsia" w:ascii="仿宋_GB2312" w:eastAsia="仿宋_GB2312"/>
                <w:color w:val="auto"/>
                <w:sz w:val="18"/>
                <w:szCs w:val="18"/>
              </w:rPr>
              <w:t>6.处罚决定；</w:t>
            </w:r>
            <w:r>
              <w:rPr>
                <w:rFonts w:hint="eastAsia" w:ascii="仿宋_GB2312" w:eastAsia="仿宋_GB2312"/>
                <w:color w:val="auto"/>
                <w:sz w:val="18"/>
                <w:szCs w:val="18"/>
              </w:rPr>
              <w:br w:type="textWrapping"/>
            </w:r>
            <w:r>
              <w:rPr>
                <w:rFonts w:hint="eastAsia" w:ascii="仿宋_GB2312" w:eastAsia="仿宋_GB2312"/>
                <w:color w:val="auto"/>
                <w:sz w:val="18"/>
                <w:szCs w:val="18"/>
              </w:rPr>
              <w:t>7.救济渠道。</w:t>
            </w:r>
          </w:p>
        </w:tc>
        <w:tc>
          <w:tcPr>
            <w:tcW w:w="0" w:type="auto"/>
            <w:vAlign w:val="center"/>
          </w:tcPr>
          <w:p>
            <w:pP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《城市桥梁检测和养护维修管理办法》</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1.除处罚决定外其他内容：长期公开（动态调整）；2.处罚决定：20个工作日内。</w:t>
            </w:r>
          </w:p>
        </w:tc>
        <w:tc>
          <w:tcPr>
            <w:tcW w:w="0" w:type="auto"/>
            <w:vAlign w:val="center"/>
          </w:tcPr>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eastAsia="zh-CN"/>
              </w:rPr>
              <w:t>三江县城市管理行政执法局</w:t>
            </w:r>
          </w:p>
        </w:tc>
        <w:tc>
          <w:tcPr>
            <w:tcW w:w="0" w:type="auto"/>
            <w:vAlign w:val="center"/>
          </w:tcPr>
          <w:p>
            <w:pPr>
              <w:rPr>
                <w:rFonts w:hint="eastAsia" w:ascii="仿宋_GB2312" w:eastAsia="仿宋_GB2312"/>
                <w:color w:val="auto"/>
                <w:sz w:val="18"/>
                <w:szCs w:val="18"/>
              </w:rPr>
            </w:pPr>
            <w:r>
              <w:rPr>
                <w:rFonts w:hint="eastAsia" w:ascii="仿宋_GB2312" w:eastAsia="仿宋_GB2312"/>
                <w:color w:val="auto"/>
                <w:sz w:val="18"/>
                <w:szCs w:val="18"/>
              </w:rPr>
              <w:t>■政府网站</w:t>
            </w:r>
          </w:p>
          <w:p>
            <w:pP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■公开查阅点</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rPr>
              <w:t>　</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c>
          <w:tcPr>
            <w:tcW w:w="0" w:type="auto"/>
            <w:vAlign w:val="center"/>
          </w:tcPr>
          <w:p>
            <w:pPr>
              <w:jc w:val="center"/>
              <w:rPr>
                <w:rFonts w:hint="eastAsia" w:ascii="仿宋_GB2312" w:hAnsi="Arial" w:eastAsia="仿宋_GB2312" w:cs="Arial"/>
                <w:color w:val="auto"/>
                <w:kern w:val="2"/>
                <w:sz w:val="18"/>
                <w:szCs w:val="18"/>
                <w:lang w:val="en-US" w:eastAsia="zh-CN" w:bidi="ar-SA"/>
              </w:rPr>
            </w:pPr>
            <w:r>
              <w:rPr>
                <w:rFonts w:hint="eastAsia" w:ascii="仿宋_GB2312" w:hAnsi="Arial" w:eastAsia="仿宋_GB2312" w:cs="Arial"/>
                <w:color w:val="auto"/>
                <w:sz w:val="18"/>
                <w:szCs w:val="18"/>
              </w:rPr>
              <w:t>√</w:t>
            </w:r>
          </w:p>
        </w:tc>
      </w:tr>
    </w:tbl>
    <w:p>
      <w:pPr>
        <w:jc w:val="left"/>
        <w:rPr>
          <w:rFonts w:hint="eastAsia" w:ascii="Times New Roman" w:hAnsi="Times New Roman" w:eastAsia="方正小标宋_GBK"/>
          <w:color w:val="auto"/>
          <w:sz w:val="28"/>
          <w:szCs w:val="28"/>
        </w:rPr>
      </w:pPr>
      <w:r>
        <w:rPr>
          <w:rFonts w:ascii="仿宋_GB2312" w:eastAsia="仿宋_GB2312"/>
          <w:color w:val="auto"/>
          <w:sz w:val="18"/>
          <w:szCs w:val="18"/>
        </w:rPr>
        <w:br w:type="page"/>
      </w:r>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29C8"/>
    <w:rsid w:val="00C47B4D"/>
    <w:rsid w:val="00C511D6"/>
    <w:rsid w:val="00C606E9"/>
    <w:rsid w:val="00C6384F"/>
    <w:rsid w:val="00C64ED8"/>
    <w:rsid w:val="00C66344"/>
    <w:rsid w:val="00C764A6"/>
    <w:rsid w:val="00C7671A"/>
    <w:rsid w:val="00C76B83"/>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1087445"/>
    <w:rsid w:val="182F3B73"/>
    <w:rsid w:val="1E835B5A"/>
    <w:rsid w:val="20A31A75"/>
    <w:rsid w:val="4E68531C"/>
    <w:rsid w:val="56FC30E4"/>
    <w:rsid w:val="5F5411D3"/>
    <w:rsid w:val="5FE64E0A"/>
    <w:rsid w:val="6324557A"/>
    <w:rsid w:val="640552F9"/>
    <w:rsid w:val="69740FFA"/>
    <w:rsid w:val="76F51F0E"/>
    <w:rsid w:val="7A912022"/>
    <w:rsid w:val="7C5C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customStyle="1"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162</Pages>
  <Words>16843</Words>
  <Characters>96006</Characters>
  <Lines>800</Lines>
  <Paragraphs>225</Paragraphs>
  <TotalTime>0</TotalTime>
  <ScaleCrop>false</ScaleCrop>
  <LinksUpToDate>false</LinksUpToDate>
  <CharactersWithSpaces>112624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2019-12-13T01:49:00Z</cp:lastPrinted>
  <dcterms:modified xsi:type="dcterms:W3CDTF">2020-11-28T03:20:00Z</dcterms:modified>
  <dc:title>扶贫领域基层政务公开标准目录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