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1" w:name="_GoBack"/>
      <w:bookmarkStart w:id="0" w:name="_Toc24724710"/>
      <w:r>
        <w:rPr>
          <w:rFonts w:hint="eastAsia" w:ascii="方正小标宋_GBK" w:hAnsi="方正小标宋_GBK" w:eastAsia="方正小标宋_GBK"/>
          <w:b w:val="0"/>
          <w:bCs w:val="0"/>
          <w:sz w:val="30"/>
          <w:lang w:eastAsia="zh-CN"/>
        </w:rPr>
        <w:t>三江侗族自治县</w:t>
      </w:r>
      <w:r>
        <w:rPr>
          <w:rFonts w:hint="eastAsia" w:ascii="方正小标宋_GBK" w:hAnsi="方正小标宋_GBK" w:eastAsia="方正小标宋_GBK"/>
          <w:b w:val="0"/>
          <w:bCs w:val="0"/>
          <w:sz w:val="30"/>
        </w:rPr>
        <w:t>公共法律服务领域基层政务公开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0"/>
    </w:p>
    <w:bookmarkEnd w:id="1"/>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律师</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行政处罚决定或行政处罚决定书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《律师法》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rPr>
                <w:rFonts w:ascii="仿宋_GB2312" w:hAnsi="宋体" w:eastAsia="仿宋_GB2312"/>
                <w:color w:val="auto"/>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公证</w:t>
            </w:r>
          </w:p>
        </w:tc>
        <w:tc>
          <w:tcPr>
            <w:tcW w:w="1440" w:type="dxa"/>
            <w:shd w:val="clear" w:color="auto" w:fill="auto"/>
            <w:vAlign w:val="center"/>
          </w:tcPr>
          <w:p>
            <w:pP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审查（考核）意见</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《公证法》、《公证员执业管理办法》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auto"/>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三江侗族自治县法律援助中心</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三江侗族自治县法律援助中心</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官方微信</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hint="eastAsia" w:ascii="仿宋_GB2312" w:hAnsi="宋体" w:eastAsia="仿宋_GB2312"/>
                <w:color w:val="000000"/>
                <w:sz w:val="18"/>
                <w:szCs w:val="18"/>
              </w:rPr>
              <w:t xml:space="preserve">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r>
              <w:rPr>
                <w:rFonts w:hint="eastAsia" w:ascii="仿宋_GB2312" w:hAnsi="宋体" w:eastAsia="仿宋_GB2312"/>
                <w:color w:val="000000"/>
                <w:sz w:val="18"/>
                <w:szCs w:val="18"/>
              </w:rPr>
              <w:t>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18</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auto"/>
                <w:sz w:val="18"/>
                <w:szCs w:val="18"/>
                <w:lang w:eastAsia="zh-CN"/>
              </w:rPr>
              <w:t>广西壮族自治区</w:t>
            </w:r>
            <w:r>
              <w:rPr>
                <w:rFonts w:hint="eastAsia" w:ascii="仿宋_GB2312" w:hAnsi="宋体" w:eastAsia="仿宋_GB2312"/>
                <w:color w:val="000000"/>
                <w:sz w:val="18"/>
                <w:szCs w:val="18"/>
              </w:rPr>
              <w:t>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r>
              <w:rPr>
                <w:rFonts w:hint="eastAsia" w:ascii="仿宋_GB2312" w:hAnsi="宋体" w:eastAsia="仿宋_GB2312"/>
                <w:color w:val="000000"/>
                <w:sz w:val="18"/>
                <w:szCs w:val="18"/>
              </w:rPr>
              <w:t>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F72C8"/>
    <w:rsid w:val="00E54A23"/>
    <w:rsid w:val="16B4135E"/>
    <w:rsid w:val="1AD20A73"/>
    <w:rsid w:val="2209325F"/>
    <w:rsid w:val="235F72C8"/>
    <w:rsid w:val="29DE21D2"/>
    <w:rsid w:val="2A604751"/>
    <w:rsid w:val="311E4D1D"/>
    <w:rsid w:val="36637EE5"/>
    <w:rsid w:val="36DE75BA"/>
    <w:rsid w:val="3BB56C53"/>
    <w:rsid w:val="3DB71F2E"/>
    <w:rsid w:val="48A32A04"/>
    <w:rsid w:val="49FA68B1"/>
    <w:rsid w:val="4A9B1495"/>
    <w:rsid w:val="53E33E9E"/>
    <w:rsid w:val="6B88468D"/>
    <w:rsid w:val="78595C99"/>
    <w:rsid w:val="7A8E7D3F"/>
    <w:rsid w:val="7D1863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Administrator</dc:creator>
  <cp:lastModifiedBy>阵雨</cp:lastModifiedBy>
  <dcterms:modified xsi:type="dcterms:W3CDTF">2020-11-28T02:41:52Z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